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D6409">
      <w:pPr>
        <w:jc w:val="center"/>
        <w:rPr>
          <w:rFonts w:eastAsia="方正小标宋_GBK"/>
          <w:sz w:val="44"/>
          <w:szCs w:val="44"/>
        </w:rPr>
      </w:pPr>
      <w:r>
        <w:rPr>
          <w:rFonts w:hint="eastAsia" w:eastAsia="方正小标宋_GBK"/>
          <w:sz w:val="44"/>
          <w:szCs w:val="44"/>
        </w:rPr>
        <w:t>省地方标准</w:t>
      </w:r>
      <w:r>
        <w:rPr>
          <w:rFonts w:eastAsia="方正小标宋_GBK"/>
          <w:sz w:val="44"/>
          <w:szCs w:val="44"/>
        </w:rPr>
        <w:t>《</w:t>
      </w:r>
      <w:r>
        <w:rPr>
          <w:rFonts w:eastAsia="方正小标宋_GBK"/>
          <w:sz w:val="40"/>
        </w:rPr>
        <w:t>卫生健康非现场执法数据交换接口规范</w:t>
      </w:r>
      <w:r>
        <w:rPr>
          <w:rFonts w:eastAsia="方正小标宋_GBK"/>
          <w:sz w:val="44"/>
          <w:szCs w:val="44"/>
        </w:rPr>
        <w:t>》编制说明</w:t>
      </w:r>
    </w:p>
    <w:p w14:paraId="34963288">
      <w:pPr>
        <w:spacing w:line="600" w:lineRule="exact"/>
        <w:ind w:firstLine="640" w:firstLineChars="200"/>
        <w:rPr>
          <w:rFonts w:eastAsia="方正黑体_GBK"/>
          <w:sz w:val="32"/>
          <w:szCs w:val="32"/>
        </w:rPr>
      </w:pPr>
      <w:r>
        <w:rPr>
          <w:rFonts w:eastAsia="方正黑体_GBK"/>
          <w:sz w:val="32"/>
          <w:szCs w:val="32"/>
        </w:rPr>
        <w:t>一、目的意义</w:t>
      </w:r>
    </w:p>
    <w:p w14:paraId="57A181D1">
      <w:pPr>
        <w:spacing w:line="600" w:lineRule="exact"/>
        <w:ind w:firstLine="640" w:firstLineChars="200"/>
        <w:rPr>
          <w:rFonts w:eastAsia="方正仿宋_GBK"/>
          <w:sz w:val="32"/>
          <w:szCs w:val="32"/>
        </w:rPr>
      </w:pPr>
      <w:r>
        <w:rPr>
          <w:rFonts w:eastAsia="方正仿宋_GBK"/>
          <w:sz w:val="32"/>
          <w:szCs w:val="32"/>
        </w:rPr>
        <w:t>2020年1月1日起施行的《优化营商环境条例》（中华人民共和国国务院令第722号）中明确提出：</w:t>
      </w:r>
      <w:r>
        <w:rPr>
          <w:rFonts w:hint="eastAsia" w:eastAsia="方正仿宋_GBK"/>
          <w:sz w:val="32"/>
          <w:szCs w:val="32"/>
        </w:rPr>
        <w:t>“</w:t>
      </w:r>
      <w:r>
        <w:rPr>
          <w:rFonts w:eastAsia="方正仿宋_GBK"/>
          <w:sz w:val="32"/>
          <w:szCs w:val="32"/>
        </w:rPr>
        <w:t>政府及其有关部门应当充分运用互联网、大数据等技术手段，依托国家统一建立的在线监管系统，加强监管信息归集共享和关联整合，推行以远程监管、移动监管、预警防控为特征的非现场监管，提升监管的精准化、智能化水平。</w:t>
      </w:r>
      <w:r>
        <w:rPr>
          <w:rFonts w:hint="eastAsia" w:eastAsia="方正仿宋_GBK"/>
          <w:sz w:val="32"/>
          <w:szCs w:val="32"/>
        </w:rPr>
        <w:t>”《江苏省“十四五”卫生健康发展规划》提出：“充分利用云计算、大数据、物联网等现代信息技术，推进在线监测、在线监控、跟踪溯源、风险预警等非现场执法手段在卫生健康监督执法领域的应用，打造全省卫生健康监督执法“一张网”。建设统一规范、多级联动的‘互联网＋执法’体系，实现部门内、外互联互通、数据共享应用。”</w:t>
      </w:r>
    </w:p>
    <w:p w14:paraId="58A146B5">
      <w:pPr>
        <w:spacing w:line="600" w:lineRule="exact"/>
        <w:ind w:firstLine="640" w:firstLineChars="200"/>
        <w:rPr>
          <w:rFonts w:eastAsia="方正仿宋_GBK"/>
          <w:sz w:val="32"/>
          <w:szCs w:val="32"/>
        </w:rPr>
      </w:pPr>
      <w:r>
        <w:rPr>
          <w:rFonts w:hint="eastAsia" w:eastAsia="方正仿宋_GBK"/>
          <w:sz w:val="32"/>
          <w:szCs w:val="32"/>
        </w:rPr>
        <w:t>近年来，各地卫生健康部门也在运用信息化技术，积极探索非现场执法工作模式。但探索过程中产生了一些新问题，各地非现场执法系统不统一、数据不统一、模式不统一，执法数据散落在各系统中，形成一个个“数据烟囱”，数据未能有效归集共享、分析应用，无法从全省面上甄别与发现工作中的薄弱环节，不能为卫生健康监督执法提供精准的辅助决策。</w:t>
      </w:r>
    </w:p>
    <w:p w14:paraId="229454DD">
      <w:pPr>
        <w:spacing w:line="600" w:lineRule="exact"/>
        <w:ind w:firstLine="640" w:firstLineChars="200"/>
        <w:rPr>
          <w:rFonts w:eastAsia="方正仿宋_GBK"/>
          <w:sz w:val="32"/>
          <w:szCs w:val="32"/>
        </w:rPr>
      </w:pPr>
      <w:r>
        <w:rPr>
          <w:rFonts w:hint="eastAsia" w:eastAsia="方正仿宋_GBK"/>
          <w:sz w:val="32"/>
        </w:rPr>
        <w:t>通过制定本标准，将统一全省卫生健康非现场执法数据交换规范，</w:t>
      </w:r>
      <w:r>
        <w:rPr>
          <w:rFonts w:eastAsia="方正仿宋_GBK"/>
          <w:sz w:val="32"/>
        </w:rPr>
        <w:t>指导推动各级卫生健康</w:t>
      </w:r>
      <w:r>
        <w:rPr>
          <w:rFonts w:hint="eastAsia" w:eastAsia="方正仿宋_GBK"/>
          <w:sz w:val="32"/>
        </w:rPr>
        <w:t>相关单位</w:t>
      </w:r>
      <w:r>
        <w:rPr>
          <w:rFonts w:eastAsia="方正仿宋_GBK"/>
          <w:sz w:val="32"/>
        </w:rPr>
        <w:t>开展数据交换接口建设，实现数据的</w:t>
      </w:r>
      <w:r>
        <w:rPr>
          <w:rFonts w:eastAsia="方正仿宋_GBK"/>
          <w:sz w:val="32"/>
          <w:szCs w:val="32"/>
        </w:rPr>
        <w:t>有效归集和互联互通</w:t>
      </w:r>
      <w:r>
        <w:rPr>
          <w:rFonts w:hint="eastAsia" w:eastAsia="方正仿宋_GBK"/>
          <w:sz w:val="32"/>
          <w:szCs w:val="32"/>
        </w:rPr>
        <w:t>，高效发挥非现场执法的作用和效果</w:t>
      </w:r>
      <w:r>
        <w:rPr>
          <w:rFonts w:eastAsia="方正仿宋_GBK"/>
          <w:sz w:val="32"/>
          <w:szCs w:val="32"/>
        </w:rPr>
        <w:t>。</w:t>
      </w:r>
    </w:p>
    <w:p w14:paraId="357D6E34">
      <w:pPr>
        <w:spacing w:line="600" w:lineRule="exact"/>
        <w:ind w:firstLine="640" w:firstLineChars="200"/>
        <w:rPr>
          <w:rFonts w:eastAsia="方正黑体_GBK"/>
          <w:sz w:val="32"/>
          <w:szCs w:val="32"/>
        </w:rPr>
      </w:pPr>
      <w:r>
        <w:rPr>
          <w:rFonts w:eastAsia="方正黑体_GBK"/>
          <w:sz w:val="32"/>
          <w:szCs w:val="32"/>
        </w:rPr>
        <w:t>二、任务来源</w:t>
      </w:r>
    </w:p>
    <w:p w14:paraId="19D56F94">
      <w:pPr>
        <w:spacing w:line="560" w:lineRule="exact"/>
        <w:ind w:firstLine="640" w:firstLineChars="200"/>
        <w:rPr>
          <w:rFonts w:eastAsia="方正小标宋_GBK"/>
          <w:sz w:val="40"/>
        </w:rPr>
      </w:pPr>
      <w:r>
        <w:rPr>
          <w:rFonts w:eastAsia="方正仿宋_GBK"/>
          <w:sz w:val="32"/>
        </w:rPr>
        <w:t>经</w:t>
      </w:r>
      <w:r>
        <w:rPr>
          <w:rFonts w:eastAsia="方正仿宋_GBK"/>
          <w:kern w:val="0"/>
          <w:sz w:val="32"/>
          <w:szCs w:val="32"/>
        </w:rPr>
        <w:t>省卫生健康委</w:t>
      </w:r>
      <w:r>
        <w:rPr>
          <w:rFonts w:hint="eastAsia" w:eastAsia="方正仿宋_GBK"/>
          <w:sz w:val="32"/>
        </w:rPr>
        <w:t>推荐，</w:t>
      </w:r>
      <w:r>
        <w:rPr>
          <w:rFonts w:hint="eastAsia" w:ascii="方正仿宋_GBK" w:eastAsia="方正仿宋_GBK"/>
          <w:sz w:val="32"/>
          <w:szCs w:val="32"/>
        </w:rPr>
        <w:t>《卫生监督非现场执法数据交换接口规范》被</w:t>
      </w:r>
      <w:r>
        <w:rPr>
          <w:rFonts w:hint="eastAsia" w:eastAsia="方正仿宋_GBK"/>
          <w:sz w:val="32"/>
        </w:rPr>
        <w:t>《省市场监管局关于下达2023年度江苏省地方标准项目计划的通知》</w:t>
      </w:r>
      <w:r>
        <w:rPr>
          <w:rFonts w:hint="eastAsia" w:ascii="方正仿宋_GBK" w:eastAsia="方正仿宋_GBK"/>
          <w:sz w:val="32"/>
          <w:szCs w:val="32"/>
        </w:rPr>
        <w:t>（苏市监</w:t>
      </w:r>
      <w:r>
        <w:rPr>
          <w:rFonts w:hint="eastAsia" w:eastAsia="方正仿宋_GBK"/>
          <w:sz w:val="32"/>
        </w:rPr>
        <w:t>标〔2023〕173号</w:t>
      </w:r>
      <w:r>
        <w:rPr>
          <w:rFonts w:hint="eastAsia" w:ascii="方正仿宋_GBK" w:eastAsia="方正仿宋_GBK"/>
          <w:sz w:val="32"/>
          <w:szCs w:val="32"/>
        </w:rPr>
        <w:t>）</w:t>
      </w:r>
      <w:r>
        <w:rPr>
          <w:rFonts w:eastAsia="方正仿宋_GBK"/>
          <w:sz w:val="32"/>
        </w:rPr>
        <w:t>正式列为2023年度江苏省地方标准制定项目计划</w:t>
      </w:r>
      <w:r>
        <w:rPr>
          <w:rFonts w:hint="eastAsia" w:eastAsia="方正仿宋_GBK"/>
          <w:sz w:val="32"/>
          <w:lang w:eastAsia="zh-CN"/>
        </w:rPr>
        <w:t>，</w:t>
      </w:r>
      <w:r>
        <w:rPr>
          <w:rFonts w:eastAsia="方正仿宋_GBK"/>
          <w:sz w:val="32"/>
        </w:rPr>
        <w:t>江苏省卫生监督所、南通市卫生监督所、盐城市卫生监督所、</w:t>
      </w:r>
      <w:r>
        <w:rPr>
          <w:rFonts w:hint="eastAsia" w:eastAsia="方正仿宋_GBK"/>
          <w:sz w:val="32"/>
          <w:szCs w:val="32"/>
          <w:vertAlign w:val="baseline"/>
        </w:rPr>
        <w:t>中卫信软件股份有限公司</w:t>
      </w:r>
      <w:r>
        <w:rPr>
          <w:rFonts w:eastAsia="方正仿宋_GBK"/>
          <w:sz w:val="32"/>
        </w:rPr>
        <w:t>承担本</w:t>
      </w:r>
      <w:r>
        <w:rPr>
          <w:rFonts w:hint="eastAsia" w:eastAsia="方正仿宋_GBK"/>
          <w:sz w:val="32"/>
        </w:rPr>
        <w:t>标准</w:t>
      </w:r>
      <w:r>
        <w:rPr>
          <w:rFonts w:eastAsia="方正仿宋_GBK"/>
          <w:sz w:val="32"/>
        </w:rPr>
        <w:t>的</w:t>
      </w:r>
      <w:r>
        <w:rPr>
          <w:rFonts w:hint="eastAsia" w:eastAsia="方正仿宋_GBK"/>
          <w:sz w:val="32"/>
        </w:rPr>
        <w:t>起草编制</w:t>
      </w:r>
      <w:r>
        <w:rPr>
          <w:rFonts w:eastAsia="方正仿宋_GBK"/>
          <w:sz w:val="32"/>
        </w:rPr>
        <w:t>工作。</w:t>
      </w:r>
      <w:r>
        <w:rPr>
          <w:rFonts w:hint="eastAsia" w:eastAsia="方正仿宋_GBK"/>
          <w:sz w:val="32"/>
        </w:rPr>
        <w:t>后根据专家意见，将</w:t>
      </w:r>
      <w:r>
        <w:rPr>
          <w:rFonts w:hint="eastAsia" w:eastAsia="方正仿宋_GBK"/>
          <w:sz w:val="32"/>
          <w:lang w:val="en-US" w:eastAsia="zh-CN"/>
        </w:rPr>
        <w:t>标准</w:t>
      </w:r>
      <w:r>
        <w:rPr>
          <w:rFonts w:hint="eastAsia" w:eastAsia="方正仿宋_GBK"/>
          <w:sz w:val="32"/>
        </w:rPr>
        <w:t>名称修改为</w:t>
      </w:r>
      <w:r>
        <w:rPr>
          <w:rFonts w:hint="eastAsia" w:ascii="方正仿宋_GBK" w:eastAsia="方正仿宋_GBK"/>
          <w:sz w:val="32"/>
          <w:szCs w:val="32"/>
        </w:rPr>
        <w:t>《卫生健康非现场执法数据交换接口规范》，起草单位增</w:t>
      </w:r>
      <w:r>
        <w:rPr>
          <w:rFonts w:hint="eastAsia" w:ascii="方正仿宋_GBK" w:eastAsia="方正仿宋_GBK"/>
          <w:sz w:val="32"/>
          <w:szCs w:val="32"/>
          <w:lang w:val="en-US" w:eastAsia="zh-CN"/>
        </w:rPr>
        <w:t>设</w:t>
      </w:r>
      <w:r>
        <w:rPr>
          <w:rFonts w:eastAsia="方正仿宋_GBK"/>
          <w:sz w:val="32"/>
        </w:rPr>
        <w:t>常州市康臣卫信信息科技有限公司</w:t>
      </w:r>
      <w:r>
        <w:rPr>
          <w:rFonts w:hint="eastAsia" w:eastAsia="方正仿宋_GBK"/>
          <w:sz w:val="32"/>
        </w:rPr>
        <w:t>。</w:t>
      </w:r>
    </w:p>
    <w:p w14:paraId="5A6AEDA4">
      <w:pPr>
        <w:spacing w:line="600" w:lineRule="exact"/>
        <w:ind w:firstLine="640" w:firstLineChars="200"/>
        <w:rPr>
          <w:rFonts w:eastAsia="方正黑体_GBK"/>
          <w:sz w:val="32"/>
          <w:szCs w:val="32"/>
        </w:rPr>
      </w:pPr>
      <w:r>
        <w:rPr>
          <w:rFonts w:eastAsia="方正黑体_GBK"/>
          <w:sz w:val="32"/>
          <w:szCs w:val="32"/>
        </w:rPr>
        <w:t>三、编制过程</w:t>
      </w:r>
    </w:p>
    <w:p w14:paraId="37DE11C7">
      <w:pPr>
        <w:spacing w:line="600" w:lineRule="exact"/>
        <w:ind w:firstLine="640" w:firstLineChars="200"/>
        <w:rPr>
          <w:rFonts w:eastAsia="方正楷体_GBK"/>
          <w:sz w:val="32"/>
          <w:szCs w:val="32"/>
        </w:rPr>
      </w:pPr>
      <w:r>
        <w:rPr>
          <w:rFonts w:eastAsia="方正楷体_GBK"/>
          <w:sz w:val="32"/>
          <w:szCs w:val="32"/>
        </w:rPr>
        <w:t>（一）立项申请（2023年</w:t>
      </w:r>
      <w:r>
        <w:rPr>
          <w:rFonts w:hint="eastAsia" w:eastAsia="方正楷体_GBK"/>
          <w:sz w:val="32"/>
          <w:szCs w:val="32"/>
        </w:rPr>
        <w:t>2</w:t>
      </w:r>
      <w:r>
        <w:rPr>
          <w:rFonts w:eastAsia="方正楷体_GBK"/>
          <w:sz w:val="32"/>
          <w:szCs w:val="32"/>
        </w:rPr>
        <w:t>月-7月）</w:t>
      </w:r>
    </w:p>
    <w:p w14:paraId="27EEB3F7">
      <w:pPr>
        <w:spacing w:line="600" w:lineRule="exact"/>
        <w:ind w:firstLine="640" w:firstLineChars="200"/>
        <w:rPr>
          <w:rFonts w:eastAsia="方正仿宋_GBK"/>
          <w:sz w:val="32"/>
          <w:szCs w:val="32"/>
        </w:rPr>
      </w:pPr>
      <w:r>
        <w:rPr>
          <w:rFonts w:eastAsia="方正仿宋_GBK"/>
          <w:sz w:val="32"/>
          <w:szCs w:val="32"/>
        </w:rPr>
        <w:t>2022年</w:t>
      </w:r>
      <w:r>
        <w:rPr>
          <w:rFonts w:hint="eastAsia" w:eastAsia="方正仿宋_GBK"/>
          <w:sz w:val="32"/>
          <w:szCs w:val="32"/>
        </w:rPr>
        <w:t>省卫生监督所结合全省非现场执法工作开展情况，对</w:t>
      </w:r>
      <w:r>
        <w:rPr>
          <w:rFonts w:eastAsia="方正仿宋_GBK"/>
          <w:sz w:val="32"/>
          <w:szCs w:val="32"/>
        </w:rPr>
        <w:t>省卫生监督综合</w:t>
      </w:r>
      <w:r>
        <w:rPr>
          <w:rFonts w:hint="eastAsia" w:eastAsia="方正仿宋_GBK"/>
          <w:sz w:val="32"/>
          <w:szCs w:val="32"/>
        </w:rPr>
        <w:t>管理</w:t>
      </w:r>
      <w:r>
        <w:rPr>
          <w:rFonts w:eastAsia="方正仿宋_GBK"/>
          <w:sz w:val="32"/>
          <w:szCs w:val="32"/>
        </w:rPr>
        <w:t>系统</w:t>
      </w:r>
      <w:r>
        <w:rPr>
          <w:rFonts w:hint="eastAsia" w:eastAsia="方正仿宋_GBK"/>
          <w:sz w:val="32"/>
          <w:szCs w:val="32"/>
        </w:rPr>
        <w:t>进行</w:t>
      </w:r>
      <w:r>
        <w:rPr>
          <w:rFonts w:eastAsia="方正仿宋_GBK"/>
          <w:sz w:val="32"/>
          <w:szCs w:val="32"/>
        </w:rPr>
        <w:t>升级改造，</w:t>
      </w:r>
      <w:r>
        <w:rPr>
          <w:rFonts w:hint="eastAsia" w:eastAsia="方正仿宋_GBK"/>
          <w:sz w:val="32"/>
          <w:szCs w:val="32"/>
        </w:rPr>
        <w:t>重点建设了卫生监督</w:t>
      </w:r>
      <w:r>
        <w:rPr>
          <w:rFonts w:eastAsia="方正仿宋_GBK"/>
          <w:sz w:val="32"/>
          <w:szCs w:val="32"/>
        </w:rPr>
        <w:t>非现场执法</w:t>
      </w:r>
      <w:r>
        <w:rPr>
          <w:rFonts w:hint="eastAsia" w:eastAsia="方正仿宋_GBK"/>
          <w:sz w:val="32"/>
          <w:szCs w:val="32"/>
        </w:rPr>
        <w:t>模块。建设过程中，赴</w:t>
      </w:r>
      <w:r>
        <w:rPr>
          <w:rFonts w:eastAsia="方正仿宋_GBK"/>
          <w:sz w:val="32"/>
          <w:szCs w:val="32"/>
        </w:rPr>
        <w:t>盐城市、南通市、启东市、南京</w:t>
      </w:r>
      <w:r>
        <w:rPr>
          <w:rFonts w:hint="eastAsia" w:eastAsia="方正仿宋_GBK"/>
          <w:sz w:val="32"/>
          <w:szCs w:val="32"/>
        </w:rPr>
        <w:t>市</w:t>
      </w:r>
      <w:r>
        <w:rPr>
          <w:rFonts w:eastAsia="方正仿宋_GBK"/>
          <w:sz w:val="32"/>
          <w:szCs w:val="32"/>
        </w:rPr>
        <w:t>建邺区等地</w:t>
      </w:r>
      <w:r>
        <w:rPr>
          <w:rFonts w:hint="eastAsia" w:eastAsia="方正仿宋_GBK"/>
          <w:sz w:val="32"/>
          <w:szCs w:val="32"/>
        </w:rPr>
        <w:t>进行调研</w:t>
      </w:r>
      <w:r>
        <w:rPr>
          <w:rFonts w:eastAsia="方正仿宋_GBK"/>
          <w:sz w:val="32"/>
          <w:szCs w:val="32"/>
        </w:rPr>
        <w:t>，了解</w:t>
      </w:r>
      <w:r>
        <w:rPr>
          <w:rFonts w:hint="eastAsia" w:eastAsia="方正仿宋_GBK"/>
          <w:sz w:val="32"/>
          <w:szCs w:val="32"/>
        </w:rPr>
        <w:t>全省</w:t>
      </w:r>
      <w:r>
        <w:rPr>
          <w:rFonts w:eastAsia="方正仿宋_GBK"/>
          <w:sz w:val="32"/>
          <w:szCs w:val="32"/>
        </w:rPr>
        <w:t>非现场执法</w:t>
      </w:r>
      <w:r>
        <w:rPr>
          <w:rFonts w:hint="eastAsia" w:eastAsia="方正仿宋_GBK"/>
          <w:sz w:val="32"/>
          <w:szCs w:val="32"/>
        </w:rPr>
        <w:t>数据建设情况，</w:t>
      </w:r>
      <w:r>
        <w:rPr>
          <w:rFonts w:eastAsia="方正仿宋_GBK"/>
          <w:sz w:val="32"/>
          <w:szCs w:val="32"/>
        </w:rPr>
        <w:t>根据不同地区不同专业的对接需求，</w:t>
      </w:r>
      <w:r>
        <w:rPr>
          <w:rFonts w:hint="eastAsia" w:eastAsia="方正仿宋_GBK"/>
          <w:sz w:val="32"/>
          <w:szCs w:val="32"/>
        </w:rPr>
        <w:t>印发</w:t>
      </w:r>
      <w:r>
        <w:rPr>
          <w:rFonts w:eastAsia="方正仿宋_GBK"/>
          <w:sz w:val="32"/>
          <w:szCs w:val="32"/>
        </w:rPr>
        <w:t>了《江苏省卫生健康综合管理系统非现场执法数据接口标准》，初步实现了部分业务范围的监测</w:t>
      </w:r>
      <w:r>
        <w:rPr>
          <w:rFonts w:eastAsia="方正仿宋_GBK"/>
          <w:sz w:val="32"/>
        </w:rPr>
        <w:t>、</w:t>
      </w:r>
      <w:r>
        <w:rPr>
          <w:rFonts w:eastAsia="方正仿宋_GBK"/>
          <w:sz w:val="32"/>
          <w:szCs w:val="32"/>
        </w:rPr>
        <w:t>监控数据交换</w:t>
      </w:r>
      <w:r>
        <w:rPr>
          <w:rFonts w:hint="eastAsia" w:eastAsia="方正仿宋_GBK"/>
          <w:sz w:val="32"/>
          <w:szCs w:val="32"/>
        </w:rPr>
        <w:t>，为起草本标准打下工作基础。2023年，根据省卫生健康委《关于做好2023年度全省卫生健康领域地方标准立项推荐工作的通知》要求，起草本标准项目建议书及标准草案，报送至省卫生健康委进行立项申请。</w:t>
      </w:r>
    </w:p>
    <w:p w14:paraId="4463F62C">
      <w:pPr>
        <w:spacing w:line="600" w:lineRule="exact"/>
        <w:ind w:firstLine="640" w:firstLineChars="200"/>
        <w:rPr>
          <w:rFonts w:eastAsia="方正楷体_GBK"/>
          <w:sz w:val="32"/>
          <w:szCs w:val="32"/>
        </w:rPr>
      </w:pPr>
      <w:r>
        <w:rPr>
          <w:rFonts w:eastAsia="方正楷体_GBK"/>
          <w:sz w:val="32"/>
          <w:szCs w:val="32"/>
        </w:rPr>
        <w:t>（二）成立起草小组（</w:t>
      </w:r>
      <w:r>
        <w:rPr>
          <w:rFonts w:eastAsia="方正楷体_GBK"/>
          <w:sz w:val="32"/>
        </w:rPr>
        <w:t>2023年8月</w:t>
      </w:r>
      <w:r>
        <w:rPr>
          <w:rFonts w:eastAsia="方正楷体_GBK"/>
          <w:sz w:val="32"/>
          <w:szCs w:val="32"/>
        </w:rPr>
        <w:t>）</w:t>
      </w:r>
    </w:p>
    <w:p w14:paraId="3CEBE29A">
      <w:pPr>
        <w:spacing w:line="560" w:lineRule="exact"/>
        <w:ind w:firstLine="640" w:firstLineChars="200"/>
        <w:rPr>
          <w:rFonts w:eastAsia="方正仿宋_GBK"/>
          <w:sz w:val="32"/>
        </w:rPr>
      </w:pPr>
      <w:r>
        <w:rPr>
          <w:rFonts w:hint="eastAsia" w:eastAsia="方正仿宋_GBK"/>
          <w:sz w:val="32"/>
        </w:rPr>
        <w:t>省卫生监督所作为牵头单位，会同其他起草单位</w:t>
      </w:r>
      <w:r>
        <w:rPr>
          <w:rFonts w:eastAsia="方正仿宋_GBK"/>
          <w:sz w:val="32"/>
        </w:rPr>
        <w:t>组建标准起草工作组，</w:t>
      </w:r>
      <w:r>
        <w:rPr>
          <w:rFonts w:eastAsia="方正仿宋_GBK"/>
          <w:sz w:val="32"/>
          <w:szCs w:val="32"/>
        </w:rPr>
        <w:t>制定标准的工作方案、</w:t>
      </w:r>
      <w:r>
        <w:rPr>
          <w:rFonts w:hint="eastAsia" w:eastAsia="方正仿宋_GBK"/>
          <w:sz w:val="32"/>
          <w:szCs w:val="32"/>
        </w:rPr>
        <w:t>序时进度表</w:t>
      </w:r>
      <w:r>
        <w:rPr>
          <w:rFonts w:eastAsia="方正仿宋_GBK"/>
          <w:sz w:val="32"/>
          <w:szCs w:val="32"/>
        </w:rPr>
        <w:t>及</w:t>
      </w:r>
      <w:r>
        <w:rPr>
          <w:rFonts w:hint="eastAsia" w:eastAsia="方正仿宋_GBK"/>
          <w:sz w:val="32"/>
          <w:szCs w:val="32"/>
        </w:rPr>
        <w:t>工作组</w:t>
      </w:r>
      <w:r>
        <w:rPr>
          <w:rFonts w:eastAsia="方正仿宋_GBK"/>
          <w:sz w:val="32"/>
          <w:szCs w:val="32"/>
        </w:rPr>
        <w:t>成员任务分工</w:t>
      </w:r>
      <w:r>
        <w:rPr>
          <w:rFonts w:hint="eastAsia" w:eastAsia="方正仿宋_GBK"/>
          <w:sz w:val="32"/>
          <w:szCs w:val="32"/>
        </w:rPr>
        <w:t>，</w:t>
      </w:r>
      <w:r>
        <w:rPr>
          <w:rFonts w:eastAsia="方正仿宋_GBK"/>
          <w:sz w:val="32"/>
        </w:rPr>
        <w:t>负责标准的调研、起草、编制和修改等工作。</w:t>
      </w:r>
    </w:p>
    <w:p w14:paraId="7128C5AE">
      <w:pPr>
        <w:spacing w:line="600" w:lineRule="exact"/>
        <w:ind w:firstLine="640" w:firstLineChars="200"/>
        <w:rPr>
          <w:rFonts w:eastAsia="方正楷体_GBK"/>
          <w:sz w:val="32"/>
          <w:szCs w:val="32"/>
        </w:rPr>
      </w:pPr>
      <w:r>
        <w:rPr>
          <w:rFonts w:eastAsia="方正楷体_GBK"/>
          <w:sz w:val="32"/>
          <w:szCs w:val="32"/>
        </w:rPr>
        <w:t>（三）编制标准草案（</w:t>
      </w:r>
      <w:r>
        <w:rPr>
          <w:rFonts w:eastAsia="方正楷体_GBK"/>
          <w:sz w:val="32"/>
        </w:rPr>
        <w:t>2023年9</w:t>
      </w:r>
      <w:r>
        <w:rPr>
          <w:rFonts w:hint="eastAsia" w:eastAsia="方正楷体_GBK"/>
          <w:sz w:val="32"/>
        </w:rPr>
        <w:t>月</w:t>
      </w:r>
      <w:r>
        <w:rPr>
          <w:rFonts w:eastAsia="方正楷体_GBK"/>
          <w:sz w:val="32"/>
        </w:rPr>
        <w:t>-2024年4月</w:t>
      </w:r>
      <w:r>
        <w:rPr>
          <w:rFonts w:eastAsia="方正楷体_GBK"/>
          <w:sz w:val="32"/>
          <w:szCs w:val="32"/>
        </w:rPr>
        <w:t>）</w:t>
      </w:r>
    </w:p>
    <w:p w14:paraId="4D2CFFDA">
      <w:pPr>
        <w:spacing w:line="560" w:lineRule="exact"/>
        <w:ind w:firstLine="640" w:firstLineChars="200"/>
        <w:rPr>
          <w:rFonts w:eastAsia="方正仿宋_GBK"/>
          <w:sz w:val="32"/>
        </w:rPr>
      </w:pPr>
      <w:r>
        <w:rPr>
          <w:rFonts w:hint="eastAsia" w:eastAsia="方正仿宋_GBK"/>
          <w:sz w:val="32"/>
        </w:rPr>
        <w:t>结合前期调研情况，起草小组</w:t>
      </w:r>
      <w:r>
        <w:rPr>
          <w:rFonts w:eastAsia="方正仿宋_GBK"/>
          <w:sz w:val="32"/>
          <w:szCs w:val="32"/>
        </w:rPr>
        <w:t>查阅有关标准、文献资料，收集整理相关法律、法规、标准、规范，</w:t>
      </w:r>
      <w:r>
        <w:rPr>
          <w:rFonts w:hint="eastAsia" w:eastAsia="方正仿宋_GBK"/>
          <w:sz w:val="32"/>
        </w:rPr>
        <w:t>编写了标准工作方案及框架内容。</w:t>
      </w:r>
      <w:r>
        <w:rPr>
          <w:rFonts w:eastAsia="方正仿宋_GBK"/>
          <w:sz w:val="32"/>
        </w:rPr>
        <w:t>2023年10月，召开项目启动会，邀请卫生健康及标准制定领域专家</w:t>
      </w:r>
      <w:r>
        <w:rPr>
          <w:rFonts w:hint="eastAsia" w:eastAsia="方正仿宋_GBK"/>
          <w:sz w:val="32"/>
        </w:rPr>
        <w:t>对</w:t>
      </w:r>
      <w:r>
        <w:rPr>
          <w:rFonts w:eastAsia="方正仿宋_GBK"/>
          <w:sz w:val="32"/>
        </w:rPr>
        <w:t>项目工作方案、框架</w:t>
      </w:r>
      <w:r>
        <w:rPr>
          <w:rFonts w:hint="eastAsia" w:eastAsia="方正仿宋_GBK"/>
          <w:sz w:val="32"/>
        </w:rPr>
        <w:t>内容进行论证</w:t>
      </w:r>
      <w:r>
        <w:rPr>
          <w:rFonts w:eastAsia="方正仿宋_GBK"/>
          <w:sz w:val="32"/>
        </w:rPr>
        <w:t>。</w:t>
      </w:r>
    </w:p>
    <w:p w14:paraId="5B2E5B58">
      <w:pPr>
        <w:spacing w:line="560" w:lineRule="exact"/>
        <w:ind w:firstLine="640" w:firstLineChars="200"/>
        <w:rPr>
          <w:rFonts w:eastAsia="方正仿宋_GBK"/>
          <w:sz w:val="32"/>
        </w:rPr>
      </w:pPr>
      <w:r>
        <w:rPr>
          <w:rFonts w:hint="eastAsia" w:eastAsia="方正仿宋_GBK"/>
          <w:sz w:val="32"/>
          <w:szCs w:val="32"/>
        </w:rPr>
        <w:t>项目正式启动后，起草小组结合专家意见，采取座谈交流</w:t>
      </w:r>
      <w:r>
        <w:rPr>
          <w:rFonts w:eastAsia="方正仿宋_GBK"/>
          <w:sz w:val="32"/>
        </w:rPr>
        <w:t>、</w:t>
      </w:r>
      <w:r>
        <w:rPr>
          <w:rFonts w:hint="eastAsia" w:eastAsia="方正仿宋_GBK"/>
          <w:sz w:val="32"/>
          <w:szCs w:val="32"/>
        </w:rPr>
        <w:t>实地调研等方式重点了解全省非现场执法工作目前存在的问题和困难，在此基础上梳理总结，</w:t>
      </w:r>
      <w:r>
        <w:rPr>
          <w:rFonts w:eastAsia="方正仿宋_GBK"/>
          <w:sz w:val="32"/>
        </w:rPr>
        <w:t>草拟</w:t>
      </w:r>
      <w:r>
        <w:rPr>
          <w:rFonts w:hint="eastAsia" w:eastAsia="方正仿宋_GBK"/>
          <w:sz w:val="32"/>
        </w:rPr>
        <w:t>了</w:t>
      </w:r>
      <w:r>
        <w:rPr>
          <w:rFonts w:eastAsia="方正仿宋_GBK"/>
          <w:sz w:val="32"/>
        </w:rPr>
        <w:t>《卫生健康非现场执法数据交换接口规范（征求意见稿）》。</w:t>
      </w:r>
    </w:p>
    <w:p w14:paraId="17289F6C">
      <w:pPr>
        <w:spacing w:line="560" w:lineRule="exact"/>
        <w:ind w:firstLine="640" w:firstLineChars="200"/>
        <w:rPr>
          <w:rFonts w:eastAsia="方正楷体_GBK"/>
          <w:sz w:val="32"/>
        </w:rPr>
      </w:pPr>
      <w:r>
        <w:rPr>
          <w:rFonts w:eastAsia="方正楷体_GBK"/>
          <w:sz w:val="32"/>
          <w:szCs w:val="32"/>
        </w:rPr>
        <w:t>（四）</w:t>
      </w:r>
      <w:r>
        <w:rPr>
          <w:rFonts w:eastAsia="方正楷体_GBK"/>
          <w:sz w:val="32"/>
        </w:rPr>
        <w:t>标准征求意见（2024年4月-</w:t>
      </w:r>
      <w:r>
        <w:rPr>
          <w:rFonts w:hint="eastAsia" w:eastAsia="方正楷体_GBK"/>
          <w:sz w:val="32"/>
        </w:rPr>
        <w:t>5</w:t>
      </w:r>
      <w:r>
        <w:rPr>
          <w:rFonts w:eastAsia="方正楷体_GBK"/>
          <w:sz w:val="32"/>
        </w:rPr>
        <w:t>月）</w:t>
      </w:r>
    </w:p>
    <w:p w14:paraId="25866072">
      <w:pPr>
        <w:spacing w:line="560" w:lineRule="exact"/>
        <w:ind w:firstLine="640" w:firstLineChars="200"/>
        <w:rPr>
          <w:rFonts w:eastAsia="方正仿宋_GBK"/>
          <w:sz w:val="32"/>
        </w:rPr>
      </w:pPr>
      <w:r>
        <w:rPr>
          <w:rFonts w:hint="eastAsia" w:eastAsia="方正仿宋_GBK"/>
          <w:sz w:val="32"/>
        </w:rPr>
        <w:t>为力求标准的专业性</w:t>
      </w:r>
      <w:r>
        <w:rPr>
          <w:rFonts w:eastAsia="方正仿宋_GBK"/>
          <w:sz w:val="32"/>
        </w:rPr>
        <w:t>、</w:t>
      </w:r>
      <w:r>
        <w:rPr>
          <w:rFonts w:hint="eastAsia" w:eastAsia="方正仿宋_GBK"/>
          <w:sz w:val="32"/>
        </w:rPr>
        <w:t>实用性和普适性，起草小组通过发函</w:t>
      </w:r>
      <w:r>
        <w:rPr>
          <w:rFonts w:eastAsia="方正仿宋_GBK"/>
          <w:sz w:val="32"/>
        </w:rPr>
        <w:t>、网站等方式</w:t>
      </w:r>
      <w:r>
        <w:rPr>
          <w:rFonts w:hint="eastAsia" w:eastAsia="方正仿宋_GBK"/>
          <w:sz w:val="32"/>
        </w:rPr>
        <w:t>征询</w:t>
      </w:r>
      <w:r>
        <w:rPr>
          <w:rFonts w:eastAsia="方正仿宋_GBK"/>
          <w:sz w:val="32"/>
        </w:rPr>
        <w:t>全省卫生行政执法、信息化和标准制定等</w:t>
      </w:r>
      <w:r>
        <w:rPr>
          <w:rFonts w:hint="eastAsia" w:eastAsia="方正仿宋_GBK"/>
          <w:sz w:val="32"/>
        </w:rPr>
        <w:t>领域专家的意见，共收集22条意见，经汇总分析研讨后，采纳或部分采纳21条，不采纳1条，</w:t>
      </w:r>
      <w:r>
        <w:rPr>
          <w:rFonts w:eastAsia="方正仿宋_GBK"/>
          <w:sz w:val="32"/>
        </w:rPr>
        <w:t>形成《卫生健康非现场执法数据交换接口规范（送审讨论稿）》</w:t>
      </w:r>
      <w:r>
        <w:rPr>
          <w:rFonts w:hint="eastAsia" w:eastAsia="方正仿宋_GBK"/>
          <w:sz w:val="32"/>
        </w:rPr>
        <w:t>，不采纳的原因已和提出人进行沟通，意见达成一致。</w:t>
      </w:r>
    </w:p>
    <w:p w14:paraId="77E5CD16">
      <w:pPr>
        <w:spacing w:line="560" w:lineRule="exact"/>
        <w:ind w:firstLine="640" w:firstLineChars="200"/>
        <w:rPr>
          <w:rFonts w:eastAsia="方正楷体_GBK"/>
          <w:sz w:val="32"/>
        </w:rPr>
      </w:pPr>
      <w:r>
        <w:rPr>
          <w:rFonts w:eastAsia="方正楷体_GBK"/>
          <w:sz w:val="32"/>
        </w:rPr>
        <w:t>（</w:t>
      </w:r>
      <w:r>
        <w:rPr>
          <w:rFonts w:hint="eastAsia" w:eastAsia="方正楷体_GBK"/>
          <w:sz w:val="32"/>
        </w:rPr>
        <w:t>五</w:t>
      </w:r>
      <w:r>
        <w:rPr>
          <w:rFonts w:eastAsia="方正楷体_GBK"/>
          <w:sz w:val="32"/>
        </w:rPr>
        <w:t>）</w:t>
      </w:r>
      <w:r>
        <w:rPr>
          <w:rFonts w:hint="eastAsia" w:eastAsia="方正楷体_GBK"/>
          <w:sz w:val="32"/>
        </w:rPr>
        <w:t>标准预审</w:t>
      </w:r>
      <w:r>
        <w:rPr>
          <w:rFonts w:eastAsia="方正楷体_GBK"/>
          <w:sz w:val="32"/>
        </w:rPr>
        <w:t>（2024年</w:t>
      </w:r>
      <w:r>
        <w:rPr>
          <w:rFonts w:hint="eastAsia" w:eastAsia="方正楷体_GBK"/>
          <w:sz w:val="32"/>
        </w:rPr>
        <w:t>6</w:t>
      </w:r>
      <w:r>
        <w:rPr>
          <w:rFonts w:eastAsia="方正楷体_GBK"/>
          <w:sz w:val="32"/>
        </w:rPr>
        <w:t>月）</w:t>
      </w:r>
    </w:p>
    <w:p w14:paraId="0E64D00E">
      <w:pPr>
        <w:spacing w:line="560" w:lineRule="exact"/>
        <w:ind w:firstLine="640" w:firstLineChars="200"/>
        <w:rPr>
          <w:rFonts w:eastAsia="方正仿宋_GBK"/>
          <w:sz w:val="32"/>
        </w:rPr>
      </w:pPr>
      <w:r>
        <w:rPr>
          <w:rFonts w:eastAsia="方正仿宋_GBK"/>
          <w:sz w:val="32"/>
        </w:rPr>
        <w:t>召开</w:t>
      </w:r>
      <w:r>
        <w:rPr>
          <w:rFonts w:hint="eastAsia" w:eastAsia="方正仿宋_GBK"/>
          <w:sz w:val="32"/>
        </w:rPr>
        <w:t>预审</w:t>
      </w:r>
      <w:r>
        <w:rPr>
          <w:rFonts w:eastAsia="方正仿宋_GBK"/>
          <w:sz w:val="32"/>
        </w:rPr>
        <w:t>会，</w:t>
      </w:r>
      <w:r>
        <w:rPr>
          <w:rFonts w:hint="eastAsia" w:eastAsia="方正仿宋_GBK"/>
          <w:sz w:val="32"/>
        </w:rPr>
        <w:t>对讨论稿进行进一步研讨修订，根据专家意见</w:t>
      </w:r>
      <w:r>
        <w:rPr>
          <w:rFonts w:eastAsia="方正仿宋_GBK"/>
          <w:sz w:val="32"/>
        </w:rPr>
        <w:t>形成《卫生健康非现场执法数据交换接口规范（送审稿）》</w:t>
      </w:r>
      <w:r>
        <w:rPr>
          <w:rFonts w:hint="eastAsia" w:eastAsia="方正仿宋_GBK"/>
          <w:sz w:val="32"/>
        </w:rPr>
        <w:t>，报</w:t>
      </w:r>
      <w:r>
        <w:rPr>
          <w:rFonts w:eastAsia="方正仿宋_GBK"/>
          <w:sz w:val="32"/>
        </w:rPr>
        <w:t>江苏省卫生健康标准化技术委员会</w:t>
      </w:r>
      <w:r>
        <w:rPr>
          <w:rFonts w:hint="eastAsia" w:eastAsia="方正仿宋_GBK"/>
          <w:sz w:val="32"/>
        </w:rPr>
        <w:t>评审</w:t>
      </w:r>
      <w:r>
        <w:rPr>
          <w:rFonts w:eastAsia="方正仿宋_GBK"/>
          <w:sz w:val="32"/>
        </w:rPr>
        <w:t>。</w:t>
      </w:r>
    </w:p>
    <w:p w14:paraId="37A37080">
      <w:pPr>
        <w:spacing w:line="560" w:lineRule="exact"/>
        <w:ind w:firstLine="640" w:firstLineChars="200"/>
        <w:rPr>
          <w:rFonts w:eastAsia="方正楷体_GBK"/>
          <w:sz w:val="32"/>
        </w:rPr>
      </w:pPr>
      <w:r>
        <w:rPr>
          <w:rFonts w:eastAsia="方正楷体_GBK"/>
          <w:sz w:val="32"/>
        </w:rPr>
        <w:t>（</w:t>
      </w:r>
      <w:r>
        <w:rPr>
          <w:rFonts w:hint="eastAsia" w:eastAsia="方正楷体_GBK"/>
          <w:sz w:val="32"/>
        </w:rPr>
        <w:t>六</w:t>
      </w:r>
      <w:r>
        <w:rPr>
          <w:rFonts w:eastAsia="方正楷体_GBK"/>
          <w:sz w:val="32"/>
        </w:rPr>
        <w:t>）结题上报（2024年6</w:t>
      </w:r>
      <w:r>
        <w:rPr>
          <w:rFonts w:hint="eastAsia" w:eastAsia="方正楷体_GBK"/>
          <w:sz w:val="32"/>
        </w:rPr>
        <w:t>月</w:t>
      </w:r>
      <w:r>
        <w:rPr>
          <w:rFonts w:eastAsia="方正楷体_GBK"/>
          <w:sz w:val="32"/>
        </w:rPr>
        <w:t>）</w:t>
      </w:r>
    </w:p>
    <w:p w14:paraId="4E33ED38">
      <w:pPr>
        <w:spacing w:line="560" w:lineRule="exact"/>
        <w:ind w:firstLine="640" w:firstLineChars="200"/>
        <w:rPr>
          <w:rFonts w:eastAsia="方正仿宋_GBK"/>
          <w:sz w:val="32"/>
        </w:rPr>
      </w:pPr>
      <w:r>
        <w:rPr>
          <w:rFonts w:eastAsia="方正仿宋_GBK"/>
          <w:sz w:val="32"/>
        </w:rPr>
        <w:t>按照江苏省卫生健康标准化技术委员会提出的评审意见，对标准内容进行修改完善，完成《卫生健康非现场执法数据交换接口规范（报批稿）》上报江苏省市场监督管理局。</w:t>
      </w:r>
    </w:p>
    <w:p w14:paraId="642A595F">
      <w:pPr>
        <w:spacing w:line="600" w:lineRule="exact"/>
        <w:ind w:firstLine="640" w:firstLineChars="200"/>
        <w:rPr>
          <w:rFonts w:eastAsia="方正黑体_GBK"/>
          <w:sz w:val="32"/>
          <w:szCs w:val="32"/>
        </w:rPr>
      </w:pPr>
      <w:r>
        <w:rPr>
          <w:rFonts w:eastAsia="方正黑体_GBK"/>
          <w:sz w:val="32"/>
          <w:szCs w:val="32"/>
        </w:rPr>
        <w:t>四、主要内容及技术指标确定的依据</w:t>
      </w:r>
    </w:p>
    <w:p w14:paraId="16A273E4">
      <w:pPr>
        <w:spacing w:line="600" w:lineRule="exact"/>
        <w:ind w:firstLine="576"/>
        <w:rPr>
          <w:rFonts w:eastAsia="方正仿宋_GBK"/>
          <w:sz w:val="32"/>
          <w:szCs w:val="32"/>
        </w:rPr>
      </w:pPr>
      <w:r>
        <w:rPr>
          <w:rFonts w:hint="eastAsia" w:eastAsia="方正仿宋_GBK"/>
          <w:sz w:val="32"/>
          <w:szCs w:val="32"/>
        </w:rPr>
        <w:t>标准</w:t>
      </w:r>
      <w:r>
        <w:rPr>
          <w:rFonts w:eastAsia="方正仿宋_GBK"/>
          <w:sz w:val="32"/>
          <w:szCs w:val="32"/>
        </w:rPr>
        <w:t>规定了卫生健康非现场执法数据交换接口的范围、平台架构、数据接口等内容。</w:t>
      </w:r>
    </w:p>
    <w:p w14:paraId="41D42108">
      <w:pPr>
        <w:spacing w:line="600" w:lineRule="exact"/>
        <w:ind w:firstLine="640" w:firstLineChars="200"/>
        <w:rPr>
          <w:rFonts w:eastAsia="方正仿宋_GBK"/>
          <w:sz w:val="32"/>
          <w:szCs w:val="32"/>
        </w:rPr>
      </w:pPr>
      <w:r>
        <w:rPr>
          <w:rFonts w:eastAsia="方正仿宋_GBK"/>
          <w:sz w:val="32"/>
          <w:szCs w:val="32"/>
        </w:rPr>
        <w:t>1.范围</w:t>
      </w:r>
    </w:p>
    <w:p w14:paraId="54538A74">
      <w:pPr>
        <w:spacing w:line="600" w:lineRule="exact"/>
        <w:ind w:firstLine="640" w:firstLineChars="200"/>
        <w:rPr>
          <w:rFonts w:eastAsia="方正仿宋_GBK"/>
          <w:sz w:val="32"/>
          <w:szCs w:val="32"/>
        </w:rPr>
      </w:pPr>
      <w:r>
        <w:rPr>
          <w:rFonts w:hint="eastAsia" w:eastAsia="方正仿宋_GBK"/>
          <w:sz w:val="32"/>
          <w:szCs w:val="32"/>
        </w:rPr>
        <w:t>本标准规定了卫生健康非现场执法数据交换的平台架构和接口要求。本标准适用于卫生健康非现场执法设备、系统间的数据交换。</w:t>
      </w:r>
    </w:p>
    <w:p w14:paraId="0CD470D4">
      <w:pPr>
        <w:spacing w:line="600" w:lineRule="exact"/>
        <w:ind w:firstLine="640" w:firstLineChars="200"/>
        <w:rPr>
          <w:rFonts w:eastAsia="方正仿宋_GBK"/>
          <w:sz w:val="32"/>
          <w:szCs w:val="32"/>
        </w:rPr>
      </w:pPr>
      <w:r>
        <w:rPr>
          <w:rFonts w:eastAsia="方正仿宋_GBK"/>
          <w:sz w:val="32"/>
          <w:szCs w:val="32"/>
        </w:rPr>
        <w:t>2.规范性引用文件</w:t>
      </w:r>
    </w:p>
    <w:p w14:paraId="17564756">
      <w:pPr>
        <w:spacing w:line="600" w:lineRule="exact"/>
        <w:ind w:firstLine="640" w:firstLineChars="200"/>
        <w:rPr>
          <w:rFonts w:hint="eastAsia" w:eastAsia="方正仿宋_GBK"/>
          <w:color w:val="auto"/>
          <w:sz w:val="32"/>
          <w:szCs w:val="32"/>
          <w:lang w:val="en-US" w:eastAsia="zh-CN"/>
        </w:rPr>
      </w:pPr>
      <w:r>
        <w:rPr>
          <w:rFonts w:hint="eastAsia" w:eastAsia="方正仿宋_GBK"/>
          <w:color w:val="auto"/>
          <w:sz w:val="32"/>
          <w:szCs w:val="32"/>
          <w:lang w:val="en-US" w:eastAsia="zh-CN"/>
        </w:rPr>
        <w:t>列出了规范性引用的文件，主要有如下标准：</w:t>
      </w:r>
    </w:p>
    <w:p w14:paraId="28FF6D3D">
      <w:pPr>
        <w:spacing w:line="600" w:lineRule="exact"/>
        <w:ind w:firstLine="640" w:firstLineChars="200"/>
        <w:rPr>
          <w:rFonts w:hint="eastAsia" w:eastAsia="方正仿宋_GBK"/>
          <w:color w:val="auto"/>
          <w:sz w:val="32"/>
          <w:szCs w:val="32"/>
          <w:lang w:val="en-US" w:eastAsia="zh-CN"/>
        </w:rPr>
      </w:pPr>
      <w:r>
        <w:rPr>
          <w:rFonts w:hint="eastAsia" w:eastAsia="方正仿宋_GBK"/>
          <w:color w:val="auto"/>
          <w:sz w:val="32"/>
          <w:szCs w:val="32"/>
          <w:lang w:val="en-US" w:eastAsia="zh-CN"/>
        </w:rPr>
        <w:t>GB/T 2260 中华人民共和国行政区划代码</w:t>
      </w:r>
    </w:p>
    <w:p w14:paraId="07F46EC8">
      <w:pPr>
        <w:spacing w:line="600" w:lineRule="exact"/>
        <w:ind w:firstLine="640" w:firstLineChars="200"/>
        <w:rPr>
          <w:rFonts w:hint="eastAsia" w:eastAsia="方正仿宋_GBK"/>
          <w:color w:val="auto"/>
          <w:sz w:val="32"/>
          <w:szCs w:val="32"/>
          <w:lang w:val="en-US" w:eastAsia="zh-CN"/>
        </w:rPr>
      </w:pPr>
      <w:r>
        <w:rPr>
          <w:rFonts w:hint="eastAsia" w:eastAsia="方正仿宋_GBK"/>
          <w:color w:val="auto"/>
          <w:sz w:val="32"/>
          <w:szCs w:val="32"/>
          <w:lang w:val="en-US" w:eastAsia="zh-CN"/>
        </w:rPr>
        <w:t>GB/T 22239 网络安全等级保护基本要求</w:t>
      </w:r>
    </w:p>
    <w:p w14:paraId="2BBD13F9">
      <w:pPr>
        <w:spacing w:line="600" w:lineRule="exact"/>
        <w:ind w:firstLine="640" w:firstLineChars="200"/>
        <w:rPr>
          <w:rFonts w:hint="eastAsia" w:eastAsia="方正仿宋_GBK"/>
          <w:color w:val="auto"/>
          <w:sz w:val="32"/>
          <w:szCs w:val="32"/>
          <w:lang w:val="en-US" w:eastAsia="zh-CN"/>
        </w:rPr>
      </w:pPr>
      <w:r>
        <w:rPr>
          <w:rFonts w:hint="eastAsia" w:eastAsia="方正仿宋_GBK"/>
          <w:color w:val="auto"/>
          <w:sz w:val="32"/>
          <w:szCs w:val="32"/>
          <w:lang w:val="en-US" w:eastAsia="zh-CN"/>
        </w:rPr>
        <w:t>GB/T 28181 安全防范在线监控联网系统信息传输、交换、控制技术要求</w:t>
      </w:r>
    </w:p>
    <w:p w14:paraId="068BBAF0">
      <w:pPr>
        <w:spacing w:line="600" w:lineRule="exact"/>
        <w:ind w:firstLine="640" w:firstLineChars="200"/>
        <w:rPr>
          <w:rFonts w:hint="eastAsia" w:eastAsia="方正仿宋_GBK"/>
          <w:color w:val="auto"/>
          <w:sz w:val="32"/>
          <w:szCs w:val="32"/>
          <w:lang w:val="en-US" w:eastAsia="zh-CN"/>
        </w:rPr>
      </w:pPr>
      <w:r>
        <w:rPr>
          <w:rFonts w:hint="eastAsia" w:eastAsia="方正仿宋_GBK"/>
          <w:color w:val="auto"/>
          <w:sz w:val="32"/>
          <w:szCs w:val="32"/>
          <w:lang w:val="en-US" w:eastAsia="zh-CN"/>
        </w:rPr>
        <w:t>DB32/T 4616 卫生健康非现场执法工作规范</w:t>
      </w:r>
    </w:p>
    <w:p w14:paraId="19C38B58">
      <w:pPr>
        <w:spacing w:line="600" w:lineRule="exact"/>
        <w:ind w:firstLine="640" w:firstLineChars="200"/>
        <w:rPr>
          <w:rFonts w:eastAsia="方正仿宋_GBK"/>
          <w:sz w:val="32"/>
          <w:szCs w:val="32"/>
        </w:rPr>
      </w:pPr>
      <w:r>
        <w:rPr>
          <w:rFonts w:eastAsia="方正仿宋_GBK"/>
          <w:sz w:val="32"/>
          <w:szCs w:val="32"/>
        </w:rPr>
        <w:t>3.术语与定义</w:t>
      </w:r>
    </w:p>
    <w:p w14:paraId="2FB70693">
      <w:pPr>
        <w:spacing w:line="600" w:lineRule="exact"/>
        <w:ind w:firstLine="640" w:firstLineChars="200"/>
        <w:rPr>
          <w:rFonts w:eastAsia="方正仿宋_GBK"/>
          <w:sz w:val="32"/>
          <w:szCs w:val="32"/>
        </w:rPr>
      </w:pPr>
      <w:r>
        <w:rPr>
          <w:rFonts w:eastAsia="方正仿宋_GBK"/>
          <w:sz w:val="32"/>
          <w:szCs w:val="32"/>
        </w:rPr>
        <w:t>除DB32/T 4616界定的信用相关术语和定义外，根据卫生健康非现场执法数据交换接口工作实际，规定了“</w:t>
      </w:r>
      <w:r>
        <w:rPr>
          <w:rFonts w:eastAsia="方正仿宋_GBK"/>
          <w:sz w:val="32"/>
          <w:szCs w:val="32"/>
          <w:lang w:val="zh-CN"/>
        </w:rPr>
        <w:t>非现场执法数据</w:t>
      </w:r>
      <w:r>
        <w:rPr>
          <w:rFonts w:eastAsia="方正仿宋_GBK"/>
          <w:sz w:val="32"/>
          <w:szCs w:val="32"/>
        </w:rPr>
        <w:t>”“</w:t>
      </w:r>
      <w:r>
        <w:rPr>
          <w:rFonts w:eastAsia="方正仿宋_GBK"/>
          <w:sz w:val="32"/>
          <w:szCs w:val="32"/>
          <w:lang w:val="zh-CN"/>
        </w:rPr>
        <w:t>在线监测数据</w:t>
      </w:r>
      <w:r>
        <w:rPr>
          <w:rFonts w:eastAsia="方正仿宋_GBK"/>
          <w:sz w:val="32"/>
          <w:szCs w:val="32"/>
        </w:rPr>
        <w:t>”“</w:t>
      </w:r>
      <w:r>
        <w:rPr>
          <w:rFonts w:eastAsia="方正仿宋_GBK"/>
          <w:sz w:val="32"/>
          <w:szCs w:val="32"/>
          <w:lang w:val="zh-CN"/>
        </w:rPr>
        <w:t>在线监控数据</w:t>
      </w:r>
      <w:r>
        <w:rPr>
          <w:rFonts w:eastAsia="方正仿宋_GBK"/>
          <w:sz w:val="32"/>
          <w:szCs w:val="32"/>
        </w:rPr>
        <w:t>”“风险预警数据”</w:t>
      </w:r>
      <w:r>
        <w:rPr>
          <w:rFonts w:hint="eastAsia" w:eastAsia="方正仿宋_GBK"/>
          <w:sz w:val="32"/>
          <w:szCs w:val="32"/>
        </w:rPr>
        <w:t>“行政执法活动数据”等</w:t>
      </w:r>
      <w:r>
        <w:rPr>
          <w:rFonts w:eastAsia="方正仿宋_GBK"/>
          <w:sz w:val="32"/>
          <w:szCs w:val="32"/>
        </w:rPr>
        <w:t>术语和定义。</w:t>
      </w:r>
    </w:p>
    <w:p w14:paraId="01A053E6">
      <w:pPr>
        <w:spacing w:line="600" w:lineRule="exact"/>
        <w:ind w:firstLine="640" w:firstLineChars="200"/>
        <w:rPr>
          <w:rFonts w:eastAsia="方正仿宋_GBK"/>
          <w:sz w:val="32"/>
          <w:szCs w:val="32"/>
        </w:rPr>
      </w:pPr>
      <w:r>
        <w:rPr>
          <w:rFonts w:hint="eastAsia" w:eastAsia="方正仿宋_GBK"/>
          <w:sz w:val="32"/>
          <w:szCs w:val="32"/>
        </w:rPr>
        <w:t>4.缩略语</w:t>
      </w:r>
    </w:p>
    <w:p w14:paraId="56B9CCB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eastAsia="方正仿宋_GBK"/>
          <w:sz w:val="32"/>
          <w:szCs w:val="32"/>
        </w:rPr>
      </w:pPr>
      <w:r>
        <w:rPr>
          <w:rFonts w:hint="eastAsia" w:eastAsia="方正仿宋_GBK"/>
          <w:sz w:val="32"/>
          <w:szCs w:val="32"/>
        </w:rPr>
        <w:t>列出并注释文中使用的缩略语：JSON、HTTP、HTTPS等。</w:t>
      </w:r>
    </w:p>
    <w:p w14:paraId="2761709E">
      <w:pPr>
        <w:spacing w:line="600" w:lineRule="exact"/>
        <w:ind w:firstLine="640" w:firstLineChars="200"/>
        <w:rPr>
          <w:rFonts w:eastAsia="方正仿宋_GBK"/>
          <w:sz w:val="32"/>
          <w:szCs w:val="32"/>
        </w:rPr>
      </w:pPr>
      <w:r>
        <w:rPr>
          <w:rFonts w:hint="eastAsia" w:eastAsia="方正仿宋_GBK"/>
          <w:sz w:val="32"/>
          <w:szCs w:val="32"/>
        </w:rPr>
        <w:t>5.</w:t>
      </w:r>
      <w:r>
        <w:rPr>
          <w:rFonts w:eastAsia="方正仿宋_GBK"/>
          <w:sz w:val="32"/>
          <w:szCs w:val="32"/>
        </w:rPr>
        <w:t>平台架构</w:t>
      </w:r>
    </w:p>
    <w:p w14:paraId="1A6F889A">
      <w:pPr>
        <w:spacing w:line="600" w:lineRule="exact"/>
        <w:ind w:firstLine="640" w:firstLineChars="200"/>
        <w:rPr>
          <w:rFonts w:eastAsia="方正仿宋_GBK"/>
          <w:sz w:val="32"/>
          <w:szCs w:val="32"/>
        </w:rPr>
      </w:pPr>
      <w:r>
        <w:rPr>
          <w:rFonts w:eastAsia="方正仿宋_GBK"/>
          <w:sz w:val="32"/>
          <w:szCs w:val="32"/>
        </w:rPr>
        <w:t>通过图示明确卫生健康非现场执法数据交换平台架构。</w:t>
      </w:r>
      <w:r>
        <w:rPr>
          <w:rFonts w:hint="eastAsia" w:eastAsia="方正仿宋_GBK"/>
          <w:sz w:val="32"/>
          <w:szCs w:val="32"/>
        </w:rPr>
        <w:t>行政相对人</w:t>
      </w:r>
      <w:r>
        <w:rPr>
          <w:rFonts w:eastAsia="方正仿宋_GBK"/>
          <w:sz w:val="32"/>
          <w:szCs w:val="32"/>
        </w:rPr>
        <w:t>数据、在线监测数据等通过卫生健康非现场执法数据交换接口，</w:t>
      </w:r>
      <w:r>
        <w:rPr>
          <w:rFonts w:hint="eastAsia" w:eastAsia="方正仿宋_GBK"/>
          <w:sz w:val="32"/>
          <w:szCs w:val="32"/>
        </w:rPr>
        <w:t>为</w:t>
      </w:r>
      <w:r>
        <w:rPr>
          <w:rFonts w:eastAsia="方正仿宋_GBK"/>
          <w:sz w:val="32"/>
          <w:szCs w:val="32"/>
        </w:rPr>
        <w:t>公共卫生、传染病防治、医疗卫生等专业的非现场执法</w:t>
      </w:r>
      <w:r>
        <w:rPr>
          <w:rFonts w:hint="eastAsia" w:eastAsia="方正仿宋_GBK"/>
          <w:sz w:val="32"/>
          <w:szCs w:val="32"/>
        </w:rPr>
        <w:t>提供数据支持</w:t>
      </w:r>
      <w:r>
        <w:rPr>
          <w:rFonts w:eastAsia="方正仿宋_GBK"/>
          <w:sz w:val="32"/>
          <w:szCs w:val="32"/>
        </w:rPr>
        <w:t>。</w:t>
      </w:r>
    </w:p>
    <w:p w14:paraId="6B8FD73E">
      <w:pPr>
        <w:spacing w:line="600" w:lineRule="exact"/>
        <w:ind w:firstLine="640" w:firstLineChars="200"/>
        <w:rPr>
          <w:rFonts w:hint="eastAsia" w:eastAsia="方正仿宋_GBK"/>
          <w:sz w:val="32"/>
          <w:szCs w:val="32"/>
          <w:lang w:val="en-US" w:eastAsia="zh-CN"/>
        </w:rPr>
      </w:pPr>
      <w:r>
        <w:rPr>
          <w:rFonts w:hint="eastAsia" w:eastAsia="方正仿宋_GBK"/>
          <w:sz w:val="32"/>
          <w:szCs w:val="32"/>
        </w:rPr>
        <w:t>6.</w:t>
      </w:r>
      <w:r>
        <w:rPr>
          <w:rFonts w:eastAsia="方正仿宋_GBK"/>
          <w:sz w:val="32"/>
          <w:szCs w:val="32"/>
        </w:rPr>
        <w:t>数据</w:t>
      </w:r>
      <w:r>
        <w:rPr>
          <w:rFonts w:hint="eastAsia" w:eastAsia="方正仿宋_GBK"/>
          <w:sz w:val="32"/>
          <w:szCs w:val="32"/>
          <w:lang w:val="en-US" w:eastAsia="zh-CN"/>
        </w:rPr>
        <w:t>交换</w:t>
      </w:r>
      <w:r>
        <w:rPr>
          <w:rFonts w:eastAsia="方正仿宋_GBK"/>
          <w:sz w:val="32"/>
          <w:szCs w:val="32"/>
        </w:rPr>
        <w:t>接口</w:t>
      </w:r>
      <w:r>
        <w:rPr>
          <w:rFonts w:hint="eastAsia" w:eastAsia="方正仿宋_GBK"/>
          <w:sz w:val="32"/>
          <w:szCs w:val="32"/>
          <w:lang w:val="en-US" w:eastAsia="zh-CN"/>
        </w:rPr>
        <w:t>要求</w:t>
      </w:r>
    </w:p>
    <w:p w14:paraId="43A21EB8">
      <w:pPr>
        <w:spacing w:line="600" w:lineRule="exact"/>
        <w:ind w:firstLine="640" w:firstLineChars="200"/>
        <w:rPr>
          <w:rFonts w:eastAsia="方正仿宋_GBK"/>
          <w:sz w:val="32"/>
          <w:szCs w:val="32"/>
        </w:rPr>
      </w:pPr>
      <w:r>
        <w:rPr>
          <w:rFonts w:hint="eastAsia" w:eastAsia="方正仿宋_GBK"/>
          <w:sz w:val="32"/>
          <w:szCs w:val="32"/>
        </w:rPr>
        <w:t>明确</w:t>
      </w:r>
      <w:r>
        <w:rPr>
          <w:rFonts w:eastAsia="方正仿宋_GBK"/>
          <w:sz w:val="32"/>
          <w:szCs w:val="32"/>
        </w:rPr>
        <w:t>卫生健康非现场执法数据交换方式包括基于HTTP/HTTPS协议以及基于GB28181技术要求两种交换方式。</w:t>
      </w:r>
      <w:r>
        <w:rPr>
          <w:rFonts w:hint="eastAsia" w:eastAsia="方正仿宋_GBK"/>
          <w:sz w:val="32"/>
          <w:szCs w:val="32"/>
        </w:rPr>
        <w:t>通过图示明确基于两种交换方式的数据交换流程。</w:t>
      </w:r>
      <w:r>
        <w:rPr>
          <w:rFonts w:eastAsia="方正仿宋_GBK"/>
          <w:sz w:val="32"/>
          <w:szCs w:val="32"/>
        </w:rPr>
        <w:t>规定了</w:t>
      </w:r>
      <w:r>
        <w:rPr>
          <w:rFonts w:hint="eastAsia" w:eastAsia="方正仿宋_GBK"/>
          <w:sz w:val="32"/>
          <w:szCs w:val="32"/>
        </w:rPr>
        <w:t>标准中涉及的</w:t>
      </w:r>
      <w:r>
        <w:rPr>
          <w:rFonts w:eastAsia="方正仿宋_GBK"/>
          <w:sz w:val="32"/>
          <w:szCs w:val="32"/>
        </w:rPr>
        <w:t>基本数据类型。</w:t>
      </w:r>
      <w:r>
        <w:rPr>
          <w:rFonts w:hint="eastAsia" w:eastAsia="方正仿宋_GBK"/>
          <w:sz w:val="32"/>
          <w:szCs w:val="32"/>
        </w:rPr>
        <w:t>规定了行政相对人</w:t>
      </w:r>
      <w:r>
        <w:rPr>
          <w:rFonts w:eastAsia="方正仿宋_GBK"/>
          <w:sz w:val="32"/>
          <w:szCs w:val="32"/>
        </w:rPr>
        <w:t>信息、设备信息、在线监测、在线监控、风险预警等</w:t>
      </w:r>
      <w:r>
        <w:rPr>
          <w:rFonts w:hint="eastAsia" w:eastAsia="方正仿宋_GBK"/>
          <w:sz w:val="32"/>
          <w:szCs w:val="32"/>
        </w:rPr>
        <w:t>数据的</w:t>
      </w:r>
      <w:r>
        <w:rPr>
          <w:rFonts w:eastAsia="方正仿宋_GBK"/>
          <w:sz w:val="32"/>
          <w:szCs w:val="32"/>
        </w:rPr>
        <w:t>参数要求。</w:t>
      </w:r>
    </w:p>
    <w:p w14:paraId="02959112">
      <w:pPr>
        <w:spacing w:line="600" w:lineRule="exact"/>
        <w:ind w:firstLine="640" w:firstLineChars="200"/>
        <w:rPr>
          <w:rFonts w:eastAsia="方正仿宋_GBK"/>
          <w:sz w:val="32"/>
          <w:szCs w:val="32"/>
        </w:rPr>
      </w:pPr>
      <w:r>
        <w:rPr>
          <w:rFonts w:hint="eastAsia" w:eastAsia="方正仿宋_GBK"/>
          <w:sz w:val="32"/>
          <w:szCs w:val="32"/>
        </w:rPr>
        <w:t>7.数据安全</w:t>
      </w:r>
    </w:p>
    <w:p w14:paraId="17263A3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eastAsia="方正仿宋_GBK"/>
          <w:sz w:val="32"/>
          <w:szCs w:val="32"/>
        </w:rPr>
      </w:pPr>
      <w:bookmarkStart w:id="0" w:name="_GoBack"/>
      <w:bookmarkEnd w:id="0"/>
      <w:r>
        <w:rPr>
          <w:rFonts w:hint="eastAsia" w:eastAsia="方正仿宋_GBK"/>
          <w:sz w:val="32"/>
          <w:szCs w:val="32"/>
        </w:rPr>
        <w:t>数据交换总体应满足GB/T 22239-2019中第三级安全要求相关规定。</w:t>
      </w:r>
    </w:p>
    <w:p w14:paraId="1480F8DD">
      <w:pPr>
        <w:spacing w:line="600" w:lineRule="exact"/>
        <w:ind w:firstLine="640" w:firstLineChars="200"/>
        <w:rPr>
          <w:rFonts w:eastAsia="方正仿宋_GBK"/>
          <w:sz w:val="32"/>
          <w:szCs w:val="32"/>
        </w:rPr>
      </w:pPr>
      <w:r>
        <w:rPr>
          <w:rFonts w:hint="eastAsia" w:eastAsia="方正仿宋_GBK"/>
          <w:sz w:val="32"/>
          <w:szCs w:val="32"/>
        </w:rPr>
        <w:t>8.</w:t>
      </w:r>
      <w:r>
        <w:rPr>
          <w:rFonts w:eastAsia="方正仿宋_GBK"/>
          <w:sz w:val="32"/>
          <w:szCs w:val="32"/>
        </w:rPr>
        <w:t>附录A</w:t>
      </w:r>
    </w:p>
    <w:p w14:paraId="52617C08">
      <w:pPr>
        <w:spacing w:line="600" w:lineRule="exact"/>
        <w:ind w:firstLine="640" w:firstLineChars="200"/>
        <w:rPr>
          <w:rFonts w:eastAsia="方正仿宋_GBK"/>
          <w:sz w:val="32"/>
          <w:szCs w:val="32"/>
        </w:rPr>
      </w:pPr>
      <w:r>
        <w:rPr>
          <w:rFonts w:eastAsia="方正仿宋_GBK"/>
          <w:sz w:val="32"/>
          <w:szCs w:val="32"/>
        </w:rPr>
        <w:t>对</w:t>
      </w:r>
      <w:r>
        <w:rPr>
          <w:rFonts w:hint="eastAsia" w:eastAsia="方正仿宋_GBK"/>
          <w:sz w:val="32"/>
          <w:szCs w:val="32"/>
        </w:rPr>
        <w:t>相关</w:t>
      </w:r>
      <w:r>
        <w:rPr>
          <w:rFonts w:eastAsia="方正仿宋_GBK"/>
          <w:sz w:val="32"/>
          <w:szCs w:val="32"/>
        </w:rPr>
        <w:t>数据编码内容进行了明确</w:t>
      </w:r>
      <w:r>
        <w:rPr>
          <w:rFonts w:hint="eastAsia" w:eastAsia="方正仿宋_GBK"/>
          <w:sz w:val="32"/>
          <w:szCs w:val="32"/>
        </w:rPr>
        <w:t>，</w:t>
      </w:r>
      <w:r>
        <w:rPr>
          <w:rFonts w:eastAsia="方正仿宋_GBK"/>
          <w:sz w:val="32"/>
          <w:szCs w:val="32"/>
        </w:rPr>
        <w:t>详细示例了业务类别编码</w:t>
      </w:r>
      <w:r>
        <w:rPr>
          <w:rFonts w:hint="eastAsia" w:eastAsia="方正仿宋_GBK"/>
          <w:sz w:val="32"/>
          <w:szCs w:val="32"/>
        </w:rPr>
        <w:t>、</w:t>
      </w:r>
      <w:r>
        <w:rPr>
          <w:rFonts w:eastAsia="方正仿宋_GBK"/>
          <w:sz w:val="32"/>
          <w:szCs w:val="32"/>
        </w:rPr>
        <w:t>检测指标编码</w:t>
      </w:r>
      <w:r>
        <w:rPr>
          <w:rFonts w:hint="eastAsia" w:eastAsia="方正仿宋_GBK"/>
          <w:sz w:val="32"/>
          <w:szCs w:val="32"/>
        </w:rPr>
        <w:t>和预警类别编码内容</w:t>
      </w:r>
      <w:r>
        <w:rPr>
          <w:rFonts w:eastAsia="方正仿宋_GBK"/>
          <w:sz w:val="32"/>
          <w:szCs w:val="32"/>
        </w:rPr>
        <w:t>。</w:t>
      </w:r>
    </w:p>
    <w:p w14:paraId="5EFA3DEE">
      <w:pPr>
        <w:spacing w:line="560" w:lineRule="exact"/>
        <w:ind w:firstLine="640" w:firstLineChars="200"/>
        <w:rPr>
          <w:rFonts w:eastAsia="方正仿宋_GBK"/>
          <w:sz w:val="32"/>
        </w:rPr>
      </w:pPr>
      <w:r>
        <w:rPr>
          <w:rFonts w:eastAsia="方正黑体_GBK"/>
          <w:sz w:val="32"/>
        </w:rPr>
        <w:t>五、重大分歧意见的处理过程和依据</w:t>
      </w:r>
    </w:p>
    <w:p w14:paraId="1D8EDC5B">
      <w:pPr>
        <w:spacing w:line="560" w:lineRule="exact"/>
        <w:ind w:firstLine="640" w:firstLineChars="200"/>
        <w:rPr>
          <w:rFonts w:eastAsia="方正仿宋_GBK"/>
          <w:sz w:val="32"/>
        </w:rPr>
      </w:pPr>
      <w:r>
        <w:rPr>
          <w:rFonts w:hint="eastAsia" w:eastAsia="方正仿宋_GBK"/>
          <w:sz w:val="32"/>
        </w:rPr>
        <w:t>无。</w:t>
      </w:r>
    </w:p>
    <w:p w14:paraId="614BB126">
      <w:pPr>
        <w:spacing w:line="600" w:lineRule="exact"/>
        <w:ind w:firstLine="640" w:firstLineChars="200"/>
        <w:rPr>
          <w:rFonts w:eastAsia="方正黑体_GBK"/>
          <w:sz w:val="32"/>
          <w:szCs w:val="32"/>
        </w:rPr>
      </w:pPr>
      <w:r>
        <w:rPr>
          <w:rFonts w:eastAsia="方正黑体_GBK"/>
          <w:sz w:val="32"/>
          <w:szCs w:val="32"/>
        </w:rPr>
        <w:t>六、与相关法律法规和国家标准的关系</w:t>
      </w:r>
    </w:p>
    <w:p w14:paraId="2B8A27D2">
      <w:pPr>
        <w:spacing w:line="600" w:lineRule="exact"/>
        <w:ind w:firstLine="640" w:firstLineChars="200"/>
        <w:rPr>
          <w:rFonts w:hint="eastAsia" w:eastAsia="方正仿宋_GBK"/>
          <w:sz w:val="32"/>
        </w:rPr>
      </w:pPr>
      <w:r>
        <w:rPr>
          <w:rFonts w:hint="eastAsia" w:eastAsia="方正仿宋_GBK"/>
          <w:sz w:val="32"/>
        </w:rPr>
        <w:t>本标准遵守现行法律法规，并和强制性标准相协调一致。</w:t>
      </w:r>
    </w:p>
    <w:p w14:paraId="4CAC0360">
      <w:pPr>
        <w:spacing w:line="600" w:lineRule="exact"/>
        <w:ind w:firstLine="640" w:firstLineChars="200"/>
        <w:rPr>
          <w:rFonts w:hint="eastAsia" w:eastAsia="方正仿宋_GBK"/>
          <w:sz w:val="32"/>
        </w:rPr>
      </w:pPr>
      <w:r>
        <w:rPr>
          <w:rFonts w:hint="eastAsia" w:eastAsia="方正仿宋_GBK"/>
          <w:sz w:val="32"/>
        </w:rPr>
        <w:t>本标准制定中未采用国际标准，文中规范性引用的国家标准、行业标准均为</w:t>
      </w:r>
      <w:r>
        <w:rPr>
          <w:rFonts w:hint="eastAsia" w:eastAsia="方正仿宋_GBK"/>
          <w:sz w:val="32"/>
          <w:lang w:val="en-US" w:eastAsia="zh-CN"/>
        </w:rPr>
        <w:t>本标准</w:t>
      </w:r>
      <w:r>
        <w:rPr>
          <w:rFonts w:hint="eastAsia" w:eastAsia="方正仿宋_GBK"/>
          <w:sz w:val="32"/>
        </w:rPr>
        <w:t>提供了相关依据。</w:t>
      </w:r>
    </w:p>
    <w:p w14:paraId="4A50BEB2">
      <w:pPr>
        <w:spacing w:line="600" w:lineRule="exact"/>
        <w:ind w:firstLine="640" w:firstLineChars="200"/>
        <w:rPr>
          <w:rFonts w:eastAsia="方正黑体_GBK"/>
          <w:sz w:val="32"/>
          <w:szCs w:val="32"/>
        </w:rPr>
      </w:pPr>
      <w:r>
        <w:rPr>
          <w:rFonts w:eastAsia="方正黑体_GBK"/>
          <w:sz w:val="32"/>
          <w:szCs w:val="32"/>
        </w:rPr>
        <w:t>七、实施推广建议</w:t>
      </w:r>
    </w:p>
    <w:p w14:paraId="7232DB78">
      <w:pPr>
        <w:spacing w:line="600" w:lineRule="exact"/>
        <w:ind w:firstLine="645"/>
        <w:rPr>
          <w:rFonts w:eastAsia="方正仿宋_GBK"/>
          <w:sz w:val="32"/>
          <w:szCs w:val="32"/>
        </w:rPr>
      </w:pPr>
      <w:r>
        <w:rPr>
          <w:rFonts w:eastAsia="方正仿宋_GBK"/>
          <w:sz w:val="32"/>
          <w:szCs w:val="32"/>
        </w:rPr>
        <w:t>本标准可在江苏省推广应用。建议标准发布后，由省级卫生健康行政部门牵头，在省内开展标准宣贯培训工作，在卫生健康非现场执法</w:t>
      </w:r>
      <w:r>
        <w:rPr>
          <w:rFonts w:hint="eastAsia" w:eastAsia="方正仿宋_GBK"/>
          <w:sz w:val="32"/>
          <w:szCs w:val="32"/>
        </w:rPr>
        <w:t>系统建设时</w:t>
      </w:r>
      <w:r>
        <w:rPr>
          <w:rFonts w:eastAsia="方正仿宋_GBK"/>
          <w:sz w:val="32"/>
          <w:szCs w:val="32"/>
        </w:rPr>
        <w:t>参照本标准</w:t>
      </w:r>
      <w:r>
        <w:rPr>
          <w:rFonts w:hint="eastAsia" w:eastAsia="方正仿宋_GBK"/>
          <w:sz w:val="32"/>
          <w:szCs w:val="32"/>
        </w:rPr>
        <w:t>。</w:t>
      </w:r>
      <w:r>
        <w:rPr>
          <w:rFonts w:eastAsia="方正仿宋_GBK"/>
          <w:sz w:val="32"/>
          <w:szCs w:val="32"/>
        </w:rPr>
        <w:t>本标准需在实践中不断总结完善。</w:t>
      </w:r>
    </w:p>
    <w:p w14:paraId="0E6F9C1D">
      <w:pPr>
        <w:numPr>
          <w:ilvl w:val="0"/>
          <w:numId w:val="1"/>
        </w:num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起草单位和起草人员信息及分工</w:t>
      </w:r>
    </w:p>
    <w:tbl>
      <w:tblPr>
        <w:tblStyle w:val="9"/>
        <w:tblW w:w="96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0"/>
        <w:gridCol w:w="1392"/>
        <w:gridCol w:w="2183"/>
        <w:gridCol w:w="3278"/>
      </w:tblGrid>
      <w:tr w14:paraId="52E83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Align w:val="center"/>
          </w:tcPr>
          <w:p w14:paraId="6600ED3C">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eastAsia="方正仿宋_GBK"/>
                <w:sz w:val="32"/>
                <w:szCs w:val="32"/>
                <w:lang w:val="en-US" w:eastAsia="zh-CN"/>
              </w:rPr>
            </w:pPr>
            <w:r>
              <w:rPr>
                <w:rFonts w:hint="eastAsia" w:eastAsia="方正仿宋_GBK"/>
                <w:sz w:val="32"/>
                <w:szCs w:val="32"/>
                <w:lang w:val="en-US" w:eastAsia="zh-CN"/>
              </w:rPr>
              <w:t>起草单位</w:t>
            </w:r>
          </w:p>
        </w:tc>
        <w:tc>
          <w:tcPr>
            <w:tcW w:w="1392" w:type="dxa"/>
            <w:vAlign w:val="center"/>
          </w:tcPr>
          <w:p w14:paraId="6F4501AA">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起草人</w:t>
            </w:r>
          </w:p>
        </w:tc>
        <w:tc>
          <w:tcPr>
            <w:tcW w:w="2183" w:type="dxa"/>
            <w:vAlign w:val="center"/>
          </w:tcPr>
          <w:p w14:paraId="069F7716">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eastAsia="方正仿宋_GBK"/>
                <w:sz w:val="32"/>
                <w:szCs w:val="32"/>
                <w:lang w:val="en-US" w:eastAsia="zh-CN"/>
              </w:rPr>
            </w:pPr>
            <w:r>
              <w:rPr>
                <w:rFonts w:hint="eastAsia" w:eastAsia="方正仿宋_GBK"/>
                <w:sz w:val="32"/>
                <w:szCs w:val="32"/>
                <w:lang w:val="en-US" w:eastAsia="zh-CN"/>
              </w:rPr>
              <w:t>职称/职务</w:t>
            </w:r>
          </w:p>
        </w:tc>
        <w:tc>
          <w:tcPr>
            <w:tcW w:w="3278" w:type="dxa"/>
            <w:vAlign w:val="center"/>
          </w:tcPr>
          <w:p w14:paraId="047BE580">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分工</w:t>
            </w:r>
          </w:p>
        </w:tc>
      </w:tr>
      <w:tr w14:paraId="0BC2C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Merge w:val="restart"/>
            <w:vAlign w:val="center"/>
          </w:tcPr>
          <w:p w14:paraId="1EE85E02">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p>
          <w:p w14:paraId="7730D7FD">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p>
          <w:p w14:paraId="3A102C5C">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eastAsia="方正仿宋_GBK"/>
                <w:sz w:val="32"/>
                <w:szCs w:val="32"/>
                <w:lang w:val="en-US" w:eastAsia="zh-CN"/>
              </w:rPr>
            </w:pPr>
            <w:r>
              <w:rPr>
                <w:rFonts w:hint="eastAsia" w:eastAsia="方正仿宋_GBK"/>
                <w:sz w:val="32"/>
                <w:szCs w:val="32"/>
                <w:lang w:val="en-US" w:eastAsia="zh-CN"/>
              </w:rPr>
              <w:t>江苏省卫生监督所</w:t>
            </w:r>
          </w:p>
        </w:tc>
        <w:tc>
          <w:tcPr>
            <w:tcW w:w="1392" w:type="dxa"/>
            <w:vAlign w:val="center"/>
          </w:tcPr>
          <w:p w14:paraId="655791B8">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吴  涛</w:t>
            </w:r>
          </w:p>
        </w:tc>
        <w:tc>
          <w:tcPr>
            <w:tcW w:w="2183" w:type="dxa"/>
            <w:vAlign w:val="center"/>
          </w:tcPr>
          <w:p w14:paraId="4CE40432">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eastAsia="方正仿宋_GBK"/>
                <w:sz w:val="32"/>
                <w:szCs w:val="32"/>
                <w:lang w:val="en-US" w:eastAsia="zh-CN"/>
              </w:rPr>
            </w:pPr>
            <w:r>
              <w:rPr>
                <w:rFonts w:hint="eastAsia" w:eastAsia="方正仿宋_GBK"/>
                <w:sz w:val="32"/>
                <w:szCs w:val="32"/>
                <w:lang w:val="en-US" w:eastAsia="zh-CN"/>
              </w:rPr>
              <w:t>所长</w:t>
            </w:r>
          </w:p>
        </w:tc>
        <w:tc>
          <w:tcPr>
            <w:tcW w:w="3278" w:type="dxa"/>
            <w:vMerge w:val="restart"/>
            <w:vAlign w:val="center"/>
          </w:tcPr>
          <w:p w14:paraId="46A63F8E">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eastAsia="方正仿宋_GBK"/>
                <w:sz w:val="32"/>
                <w:szCs w:val="32"/>
                <w:lang w:val="en-US" w:eastAsia="zh-CN"/>
              </w:rPr>
            </w:pPr>
            <w:r>
              <w:rPr>
                <w:rFonts w:hint="eastAsia" w:eastAsia="方正仿宋_GBK"/>
                <w:sz w:val="32"/>
                <w:szCs w:val="32"/>
                <w:lang w:val="en-US" w:eastAsia="zh-CN"/>
              </w:rPr>
              <w:t>顶层设计、组织协调、</w:t>
            </w:r>
          </w:p>
          <w:p w14:paraId="430C697C">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default" w:eastAsia="方正仿宋_GBK"/>
                <w:sz w:val="32"/>
                <w:szCs w:val="32"/>
                <w:lang w:val="en-US" w:eastAsia="zh-CN"/>
              </w:rPr>
            </w:pPr>
            <w:r>
              <w:rPr>
                <w:rFonts w:hint="eastAsia" w:eastAsia="方正仿宋_GBK"/>
                <w:sz w:val="32"/>
                <w:szCs w:val="32"/>
                <w:lang w:val="en-US" w:eastAsia="zh-CN"/>
              </w:rPr>
              <w:t>对整体框架、编制说明进行编写、对标准进行征求意见并整理汇总</w:t>
            </w:r>
          </w:p>
        </w:tc>
      </w:tr>
      <w:tr w14:paraId="348F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Merge w:val="continue"/>
            <w:vAlign w:val="center"/>
          </w:tcPr>
          <w:p w14:paraId="522471D1">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eastAsia" w:eastAsia="方正仿宋_GBK"/>
                <w:sz w:val="32"/>
                <w:szCs w:val="32"/>
              </w:rPr>
            </w:pPr>
          </w:p>
        </w:tc>
        <w:tc>
          <w:tcPr>
            <w:tcW w:w="1392" w:type="dxa"/>
            <w:vAlign w:val="center"/>
          </w:tcPr>
          <w:p w14:paraId="61322182">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王  薇</w:t>
            </w:r>
          </w:p>
        </w:tc>
        <w:tc>
          <w:tcPr>
            <w:tcW w:w="2183" w:type="dxa"/>
            <w:vAlign w:val="center"/>
          </w:tcPr>
          <w:p w14:paraId="1D5D5EBD">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default" w:eastAsia="方正仿宋_GBK"/>
                <w:sz w:val="32"/>
                <w:szCs w:val="32"/>
                <w:lang w:val="en-US" w:eastAsia="zh-CN"/>
              </w:rPr>
            </w:pPr>
            <w:r>
              <w:rPr>
                <w:rFonts w:hint="eastAsia" w:eastAsia="方正仿宋_GBK"/>
                <w:sz w:val="32"/>
                <w:szCs w:val="32"/>
                <w:lang w:val="en-US" w:eastAsia="zh-CN"/>
              </w:rPr>
              <w:t>科长</w:t>
            </w:r>
          </w:p>
        </w:tc>
        <w:tc>
          <w:tcPr>
            <w:tcW w:w="3278" w:type="dxa"/>
            <w:vMerge w:val="continue"/>
            <w:vAlign w:val="center"/>
          </w:tcPr>
          <w:p w14:paraId="30F2294E">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eastAsia="方正仿宋_GBK"/>
                <w:sz w:val="32"/>
                <w:szCs w:val="32"/>
                <w:lang w:val="en-US" w:eastAsia="zh-CN"/>
              </w:rPr>
            </w:pPr>
          </w:p>
        </w:tc>
      </w:tr>
      <w:tr w14:paraId="2EAE5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Merge w:val="continue"/>
            <w:vAlign w:val="center"/>
          </w:tcPr>
          <w:p w14:paraId="4B046BDD">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eastAsia" w:eastAsia="方正仿宋_GBK"/>
                <w:sz w:val="32"/>
                <w:szCs w:val="32"/>
              </w:rPr>
            </w:pPr>
          </w:p>
        </w:tc>
        <w:tc>
          <w:tcPr>
            <w:tcW w:w="1392" w:type="dxa"/>
            <w:vAlign w:val="center"/>
          </w:tcPr>
          <w:p w14:paraId="35AB0A27">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金  维</w:t>
            </w:r>
          </w:p>
        </w:tc>
        <w:tc>
          <w:tcPr>
            <w:tcW w:w="2183" w:type="dxa"/>
            <w:vAlign w:val="center"/>
          </w:tcPr>
          <w:p w14:paraId="3DB01EDA">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副科长</w:t>
            </w:r>
          </w:p>
        </w:tc>
        <w:tc>
          <w:tcPr>
            <w:tcW w:w="3278" w:type="dxa"/>
            <w:vMerge w:val="continue"/>
            <w:vAlign w:val="center"/>
          </w:tcPr>
          <w:p w14:paraId="13FC8EED">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default" w:eastAsia="方正仿宋_GBK"/>
                <w:sz w:val="32"/>
                <w:szCs w:val="32"/>
                <w:lang w:val="en-US" w:eastAsia="zh-CN"/>
              </w:rPr>
            </w:pPr>
          </w:p>
        </w:tc>
      </w:tr>
      <w:tr w14:paraId="7BC5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Merge w:val="continue"/>
            <w:vAlign w:val="center"/>
          </w:tcPr>
          <w:p w14:paraId="20E516BA">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eastAsia" w:eastAsia="方正仿宋_GBK"/>
                <w:sz w:val="32"/>
                <w:szCs w:val="32"/>
              </w:rPr>
            </w:pPr>
          </w:p>
        </w:tc>
        <w:tc>
          <w:tcPr>
            <w:tcW w:w="1392" w:type="dxa"/>
            <w:vAlign w:val="center"/>
          </w:tcPr>
          <w:p w14:paraId="2A0942C3">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王汉唐</w:t>
            </w:r>
          </w:p>
        </w:tc>
        <w:tc>
          <w:tcPr>
            <w:tcW w:w="2183" w:type="dxa"/>
            <w:vAlign w:val="center"/>
          </w:tcPr>
          <w:p w14:paraId="441393E1">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default" w:eastAsia="方正仿宋_GBK"/>
                <w:sz w:val="32"/>
                <w:szCs w:val="32"/>
                <w:lang w:val="en-US" w:eastAsia="zh-CN"/>
              </w:rPr>
            </w:pPr>
            <w:r>
              <w:rPr>
                <w:rFonts w:hint="eastAsia" w:eastAsia="方正仿宋_GBK"/>
                <w:sz w:val="32"/>
                <w:szCs w:val="32"/>
                <w:lang w:val="en-US" w:eastAsia="zh-CN"/>
              </w:rPr>
              <w:t>三级主任科员</w:t>
            </w:r>
          </w:p>
        </w:tc>
        <w:tc>
          <w:tcPr>
            <w:tcW w:w="3278" w:type="dxa"/>
            <w:vMerge w:val="continue"/>
            <w:vAlign w:val="center"/>
          </w:tcPr>
          <w:p w14:paraId="107BF4B1">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eastAsia="方正仿宋_GBK"/>
                <w:sz w:val="32"/>
                <w:szCs w:val="32"/>
                <w:lang w:val="en-US" w:eastAsia="zh-CN"/>
              </w:rPr>
            </w:pPr>
          </w:p>
        </w:tc>
      </w:tr>
      <w:tr w14:paraId="210F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Merge w:val="continue"/>
            <w:vAlign w:val="center"/>
          </w:tcPr>
          <w:p w14:paraId="259F8022">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eastAsia" w:eastAsia="方正仿宋_GBK"/>
                <w:sz w:val="32"/>
                <w:szCs w:val="32"/>
              </w:rPr>
            </w:pPr>
          </w:p>
        </w:tc>
        <w:tc>
          <w:tcPr>
            <w:tcW w:w="1392" w:type="dxa"/>
            <w:vAlign w:val="center"/>
          </w:tcPr>
          <w:p w14:paraId="4C3774B8">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倪  林</w:t>
            </w:r>
          </w:p>
        </w:tc>
        <w:tc>
          <w:tcPr>
            <w:tcW w:w="2183" w:type="dxa"/>
            <w:vAlign w:val="center"/>
          </w:tcPr>
          <w:p w14:paraId="55B25E5B">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default" w:eastAsia="方正仿宋_GBK"/>
                <w:sz w:val="32"/>
                <w:szCs w:val="32"/>
                <w:lang w:val="en-US" w:eastAsia="zh-CN"/>
              </w:rPr>
            </w:pPr>
            <w:r>
              <w:rPr>
                <w:rFonts w:hint="eastAsia" w:eastAsia="方正仿宋_GBK"/>
                <w:sz w:val="32"/>
                <w:szCs w:val="32"/>
                <w:lang w:val="en-US" w:eastAsia="zh-CN"/>
              </w:rPr>
              <w:t>四级主任科员</w:t>
            </w:r>
          </w:p>
        </w:tc>
        <w:tc>
          <w:tcPr>
            <w:tcW w:w="3278" w:type="dxa"/>
            <w:vMerge w:val="continue"/>
            <w:vAlign w:val="center"/>
          </w:tcPr>
          <w:p w14:paraId="4F985BAC">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default" w:eastAsia="方正仿宋_GBK"/>
                <w:sz w:val="32"/>
                <w:szCs w:val="32"/>
                <w:lang w:val="en-US" w:eastAsia="zh-CN"/>
              </w:rPr>
            </w:pPr>
          </w:p>
        </w:tc>
      </w:tr>
      <w:tr w14:paraId="04766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Merge w:val="continue"/>
            <w:vAlign w:val="center"/>
          </w:tcPr>
          <w:p w14:paraId="5C14C63F">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eastAsia" w:eastAsia="方正仿宋_GBK"/>
                <w:sz w:val="32"/>
                <w:szCs w:val="32"/>
              </w:rPr>
            </w:pPr>
          </w:p>
        </w:tc>
        <w:tc>
          <w:tcPr>
            <w:tcW w:w="1392" w:type="dxa"/>
            <w:vAlign w:val="center"/>
          </w:tcPr>
          <w:p w14:paraId="2F05CABA">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李  力</w:t>
            </w:r>
          </w:p>
        </w:tc>
        <w:tc>
          <w:tcPr>
            <w:tcW w:w="2183" w:type="dxa"/>
            <w:vAlign w:val="center"/>
          </w:tcPr>
          <w:p w14:paraId="50D96B4F">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科长</w:t>
            </w:r>
          </w:p>
        </w:tc>
        <w:tc>
          <w:tcPr>
            <w:tcW w:w="3278" w:type="dxa"/>
            <w:vMerge w:val="continue"/>
            <w:vAlign w:val="center"/>
          </w:tcPr>
          <w:p w14:paraId="39E2F7BD">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eastAsia="方正仿宋_GBK"/>
                <w:sz w:val="32"/>
                <w:szCs w:val="32"/>
                <w:lang w:val="en-US" w:eastAsia="zh-CN"/>
              </w:rPr>
            </w:pPr>
          </w:p>
        </w:tc>
      </w:tr>
      <w:tr w14:paraId="3913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Merge w:val="restart"/>
            <w:vAlign w:val="center"/>
          </w:tcPr>
          <w:p w14:paraId="15A1B0BA">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eastAsia="方正仿宋_GBK"/>
                <w:sz w:val="32"/>
                <w:szCs w:val="32"/>
              </w:rPr>
            </w:pPr>
            <w:r>
              <w:rPr>
                <w:rFonts w:hint="eastAsia" w:eastAsia="方正仿宋_GBK"/>
                <w:sz w:val="32"/>
                <w:szCs w:val="32"/>
              </w:rPr>
              <w:t>南通市卫生监督所</w:t>
            </w:r>
          </w:p>
        </w:tc>
        <w:tc>
          <w:tcPr>
            <w:tcW w:w="1392" w:type="dxa"/>
            <w:vAlign w:val="center"/>
          </w:tcPr>
          <w:p w14:paraId="548B9D41">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陆宇豪</w:t>
            </w:r>
          </w:p>
        </w:tc>
        <w:tc>
          <w:tcPr>
            <w:tcW w:w="2183" w:type="dxa"/>
            <w:vAlign w:val="center"/>
          </w:tcPr>
          <w:p w14:paraId="0B68797B">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rPr>
            </w:pPr>
            <w:r>
              <w:rPr>
                <w:rFonts w:hint="eastAsia" w:eastAsia="方正仿宋_GBK"/>
                <w:w w:val="80"/>
                <w:sz w:val="32"/>
                <w:szCs w:val="32"/>
              </w:rPr>
              <w:t>网络高级工程师</w:t>
            </w:r>
          </w:p>
        </w:tc>
        <w:tc>
          <w:tcPr>
            <w:tcW w:w="3278" w:type="dxa"/>
            <w:vMerge w:val="restart"/>
            <w:vAlign w:val="center"/>
          </w:tcPr>
          <w:p w14:paraId="6DDED824">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eastAsia" w:eastAsia="方正仿宋_GBK"/>
                <w:sz w:val="32"/>
                <w:szCs w:val="32"/>
              </w:rPr>
            </w:pPr>
            <w:r>
              <w:rPr>
                <w:rFonts w:hint="eastAsia" w:eastAsia="方正仿宋_GBK"/>
                <w:w w:val="100"/>
                <w:sz w:val="32"/>
                <w:szCs w:val="32"/>
                <w:lang w:val="en-US" w:eastAsia="zh-CN"/>
              </w:rPr>
              <w:t>重点</w:t>
            </w:r>
            <w:r>
              <w:rPr>
                <w:rFonts w:hint="eastAsia" w:eastAsia="方正仿宋_GBK"/>
                <w:w w:val="100"/>
                <w:sz w:val="32"/>
                <w:szCs w:val="32"/>
              </w:rPr>
              <w:t>对章节1.范围 2.规范性引用 3.术语和定义 4.缩略语 5.平台架构进行修改完善</w:t>
            </w:r>
          </w:p>
        </w:tc>
      </w:tr>
      <w:tr w14:paraId="6BB3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Merge w:val="continue"/>
            <w:vAlign w:val="center"/>
          </w:tcPr>
          <w:p w14:paraId="077D4450">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eastAsia" w:eastAsia="方正仿宋_GBK"/>
                <w:sz w:val="32"/>
                <w:szCs w:val="32"/>
              </w:rPr>
            </w:pPr>
          </w:p>
        </w:tc>
        <w:tc>
          <w:tcPr>
            <w:tcW w:w="1392" w:type="dxa"/>
            <w:vAlign w:val="center"/>
          </w:tcPr>
          <w:p w14:paraId="4954CE80">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徐  飞</w:t>
            </w:r>
          </w:p>
        </w:tc>
        <w:tc>
          <w:tcPr>
            <w:tcW w:w="2183" w:type="dxa"/>
            <w:vAlign w:val="center"/>
          </w:tcPr>
          <w:p w14:paraId="15D82284">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所长</w:t>
            </w:r>
          </w:p>
        </w:tc>
        <w:tc>
          <w:tcPr>
            <w:tcW w:w="3278" w:type="dxa"/>
            <w:vMerge w:val="continue"/>
            <w:vAlign w:val="center"/>
          </w:tcPr>
          <w:p w14:paraId="2CED99E2">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eastAsia" w:eastAsia="方正仿宋_GBK"/>
                <w:sz w:val="32"/>
                <w:szCs w:val="32"/>
              </w:rPr>
            </w:pPr>
          </w:p>
        </w:tc>
      </w:tr>
      <w:tr w14:paraId="1710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Merge w:val="continue"/>
            <w:vAlign w:val="center"/>
          </w:tcPr>
          <w:p w14:paraId="2A2E2AB8">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eastAsia" w:eastAsia="方正仿宋_GBK"/>
                <w:sz w:val="32"/>
                <w:szCs w:val="32"/>
              </w:rPr>
            </w:pPr>
          </w:p>
        </w:tc>
        <w:tc>
          <w:tcPr>
            <w:tcW w:w="1392" w:type="dxa"/>
            <w:vAlign w:val="center"/>
          </w:tcPr>
          <w:p w14:paraId="3D8DFFB6">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陈晓东</w:t>
            </w:r>
          </w:p>
        </w:tc>
        <w:tc>
          <w:tcPr>
            <w:tcW w:w="2183" w:type="dxa"/>
            <w:vAlign w:val="center"/>
          </w:tcPr>
          <w:p w14:paraId="617E117F">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副所长</w:t>
            </w:r>
          </w:p>
        </w:tc>
        <w:tc>
          <w:tcPr>
            <w:tcW w:w="3278" w:type="dxa"/>
            <w:vMerge w:val="continue"/>
            <w:vAlign w:val="center"/>
          </w:tcPr>
          <w:p w14:paraId="18F131F2">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eastAsia" w:eastAsia="方正仿宋_GBK"/>
                <w:sz w:val="32"/>
                <w:szCs w:val="32"/>
              </w:rPr>
            </w:pPr>
          </w:p>
        </w:tc>
      </w:tr>
      <w:tr w14:paraId="21153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Align w:val="center"/>
          </w:tcPr>
          <w:p w14:paraId="428773E7">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eastAsia="方正仿宋_GBK"/>
                <w:sz w:val="32"/>
                <w:szCs w:val="32"/>
              </w:rPr>
            </w:pPr>
            <w:r>
              <w:rPr>
                <w:rFonts w:hint="eastAsia" w:eastAsia="方正仿宋_GBK"/>
                <w:sz w:val="32"/>
                <w:szCs w:val="32"/>
              </w:rPr>
              <w:t>盐城市卫生监督所</w:t>
            </w:r>
          </w:p>
        </w:tc>
        <w:tc>
          <w:tcPr>
            <w:tcW w:w="1392" w:type="dxa"/>
            <w:vAlign w:val="center"/>
          </w:tcPr>
          <w:p w14:paraId="49DE893A">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鲁袁</w:t>
            </w:r>
          </w:p>
        </w:tc>
        <w:tc>
          <w:tcPr>
            <w:tcW w:w="2183" w:type="dxa"/>
            <w:vAlign w:val="center"/>
          </w:tcPr>
          <w:p w14:paraId="168BAA4B">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科长</w:t>
            </w:r>
          </w:p>
        </w:tc>
        <w:tc>
          <w:tcPr>
            <w:tcW w:w="3278" w:type="dxa"/>
            <w:vAlign w:val="center"/>
          </w:tcPr>
          <w:p w14:paraId="678EA6AC">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default" w:eastAsia="方正仿宋_GBK"/>
                <w:sz w:val="32"/>
                <w:szCs w:val="32"/>
                <w:lang w:val="en-US" w:eastAsia="zh-CN"/>
              </w:rPr>
            </w:pPr>
            <w:r>
              <w:rPr>
                <w:rFonts w:hint="eastAsia" w:eastAsia="方正仿宋_GBK"/>
                <w:w w:val="100"/>
                <w:sz w:val="32"/>
                <w:szCs w:val="32"/>
                <w:lang w:val="en-US" w:eastAsia="zh-CN"/>
              </w:rPr>
              <w:t>重点</w:t>
            </w:r>
            <w:r>
              <w:rPr>
                <w:rFonts w:hint="eastAsia" w:eastAsia="方正仿宋_GBK"/>
                <w:w w:val="100"/>
                <w:sz w:val="32"/>
                <w:szCs w:val="32"/>
              </w:rPr>
              <w:t>对章节附表A进行修改完善</w:t>
            </w:r>
          </w:p>
        </w:tc>
      </w:tr>
      <w:tr w14:paraId="05592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Align w:val="center"/>
          </w:tcPr>
          <w:p w14:paraId="6AB3A26D">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eastAsia="方正仿宋_GBK"/>
                <w:sz w:val="32"/>
                <w:szCs w:val="32"/>
              </w:rPr>
            </w:pPr>
            <w:r>
              <w:rPr>
                <w:rFonts w:hint="eastAsia" w:eastAsia="方正仿宋_GBK"/>
                <w:sz w:val="32"/>
                <w:szCs w:val="32"/>
              </w:rPr>
              <w:t>中卫信软件股份有限公司</w:t>
            </w:r>
          </w:p>
        </w:tc>
        <w:tc>
          <w:tcPr>
            <w:tcW w:w="1392" w:type="dxa"/>
            <w:vAlign w:val="center"/>
          </w:tcPr>
          <w:p w14:paraId="1B4896C1">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陈秦赟</w:t>
            </w:r>
          </w:p>
        </w:tc>
        <w:tc>
          <w:tcPr>
            <w:tcW w:w="2183" w:type="dxa"/>
            <w:vAlign w:val="center"/>
          </w:tcPr>
          <w:p w14:paraId="316EA97C">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项目经理</w:t>
            </w:r>
          </w:p>
        </w:tc>
        <w:tc>
          <w:tcPr>
            <w:tcW w:w="3278" w:type="dxa"/>
            <w:vAlign w:val="center"/>
          </w:tcPr>
          <w:p w14:paraId="1D22D4B8">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default" w:eastAsia="方正仿宋_GBK"/>
                <w:sz w:val="32"/>
                <w:szCs w:val="32"/>
                <w:lang w:val="en-US" w:eastAsia="zh-CN"/>
              </w:rPr>
            </w:pPr>
            <w:r>
              <w:rPr>
                <w:rFonts w:hint="eastAsia" w:eastAsia="方正仿宋_GBK"/>
                <w:sz w:val="32"/>
                <w:szCs w:val="32"/>
                <w:lang w:val="en-US" w:eastAsia="zh-CN"/>
              </w:rPr>
              <w:t>重点对6.数据交换接口要求7.数据安全进行修改完善。</w:t>
            </w:r>
          </w:p>
        </w:tc>
      </w:tr>
      <w:tr w14:paraId="623B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0" w:type="dxa"/>
            <w:vAlign w:val="center"/>
          </w:tcPr>
          <w:p w14:paraId="531EC6CC">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eastAsia="方正仿宋_GBK"/>
                <w:sz w:val="32"/>
                <w:szCs w:val="32"/>
              </w:rPr>
            </w:pPr>
            <w:r>
              <w:rPr>
                <w:rFonts w:hint="eastAsia" w:eastAsia="方正仿宋_GBK"/>
                <w:sz w:val="32"/>
                <w:szCs w:val="32"/>
              </w:rPr>
              <w:t>常州市康臣卫信信息科技有限公司</w:t>
            </w:r>
          </w:p>
        </w:tc>
        <w:tc>
          <w:tcPr>
            <w:tcW w:w="1392" w:type="dxa"/>
            <w:vAlign w:val="center"/>
          </w:tcPr>
          <w:p w14:paraId="4C424290">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rPr>
            </w:pPr>
            <w:r>
              <w:rPr>
                <w:rFonts w:hint="eastAsia" w:eastAsia="方正仿宋_GBK"/>
                <w:sz w:val="32"/>
                <w:szCs w:val="32"/>
              </w:rPr>
              <w:t>胡新</w:t>
            </w:r>
          </w:p>
        </w:tc>
        <w:tc>
          <w:tcPr>
            <w:tcW w:w="2183" w:type="dxa"/>
            <w:vAlign w:val="center"/>
          </w:tcPr>
          <w:p w14:paraId="1980F56B">
            <w:pPr>
              <w:keepNext w:val="0"/>
              <w:keepLines w:val="0"/>
              <w:pageBreakBefore w:val="0"/>
              <w:widowControl w:val="0"/>
              <w:kinsoku/>
              <w:wordWrap/>
              <w:overflowPunct/>
              <w:topLinePunct w:val="0"/>
              <w:autoSpaceDE/>
              <w:autoSpaceDN/>
              <w:bidi w:val="0"/>
              <w:adjustRightInd/>
              <w:snapToGrid/>
              <w:spacing w:line="600" w:lineRule="exact"/>
              <w:ind w:firstLine="0"/>
              <w:jc w:val="center"/>
              <w:textAlignment w:val="auto"/>
              <w:rPr>
                <w:rFonts w:hint="eastAsia" w:eastAsia="方正仿宋_GBK"/>
                <w:sz w:val="32"/>
                <w:szCs w:val="32"/>
                <w:lang w:val="en-US" w:eastAsia="zh-CN"/>
              </w:rPr>
            </w:pPr>
            <w:r>
              <w:rPr>
                <w:rFonts w:hint="eastAsia" w:eastAsia="方正仿宋_GBK"/>
                <w:sz w:val="32"/>
                <w:szCs w:val="32"/>
                <w:lang w:val="en-US" w:eastAsia="zh-CN"/>
              </w:rPr>
              <w:t>项目经理</w:t>
            </w:r>
          </w:p>
        </w:tc>
        <w:tc>
          <w:tcPr>
            <w:tcW w:w="3278" w:type="dxa"/>
            <w:vAlign w:val="center"/>
          </w:tcPr>
          <w:p w14:paraId="7DCB36C3">
            <w:pPr>
              <w:keepNext w:val="0"/>
              <w:keepLines w:val="0"/>
              <w:pageBreakBefore w:val="0"/>
              <w:widowControl w:val="0"/>
              <w:kinsoku/>
              <w:wordWrap/>
              <w:overflowPunct/>
              <w:topLinePunct w:val="0"/>
              <w:autoSpaceDE/>
              <w:autoSpaceDN/>
              <w:bidi w:val="0"/>
              <w:adjustRightInd/>
              <w:snapToGrid/>
              <w:spacing w:line="600" w:lineRule="exact"/>
              <w:ind w:firstLine="0"/>
              <w:textAlignment w:val="auto"/>
              <w:rPr>
                <w:rFonts w:hint="default" w:eastAsia="方正仿宋_GBK"/>
                <w:sz w:val="32"/>
                <w:szCs w:val="32"/>
                <w:lang w:val="en-US" w:eastAsia="zh-CN"/>
              </w:rPr>
            </w:pPr>
            <w:r>
              <w:rPr>
                <w:rFonts w:hint="eastAsia" w:eastAsia="方正仿宋_GBK"/>
                <w:sz w:val="32"/>
                <w:szCs w:val="32"/>
                <w:lang w:val="en-US" w:eastAsia="zh-CN"/>
              </w:rPr>
              <w:t>重点对6.数据交换接口要求进行修改完善。</w:t>
            </w:r>
          </w:p>
        </w:tc>
      </w:tr>
    </w:tbl>
    <w:p w14:paraId="5BD552AE">
      <w:pPr>
        <w:spacing w:line="600" w:lineRule="exact"/>
        <w:ind w:firstLine="645"/>
        <w:rPr>
          <w:rFonts w:hint="eastAsia" w:eastAsia="方正仿宋_GBK"/>
          <w:sz w:val="32"/>
          <w:szCs w:val="32"/>
        </w:rPr>
      </w:pPr>
    </w:p>
    <w:p w14:paraId="46826509">
      <w:pPr>
        <w:spacing w:line="600" w:lineRule="exact"/>
        <w:rPr>
          <w:rFonts w:eastAsia="方正仿宋_GBK"/>
          <w:sz w:val="32"/>
          <w:szCs w:val="32"/>
        </w:rPr>
      </w:pPr>
    </w:p>
    <w:sectPr>
      <w:headerReference r:id="rId3" w:type="default"/>
      <w:footerReference r:id="rId4" w:type="default"/>
      <w:footerReference r:id="rId5" w:type="even"/>
      <w:pgSz w:w="11906" w:h="16838"/>
      <w:pgMar w:top="2098" w:right="1588" w:bottom="1814" w:left="1588" w:header="851" w:footer="141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创艺简仿宋">
    <w:altName w:val="等线"/>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汉鼎简大宋">
    <w:altName w:val="宋体"/>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E367A">
    <w:pPr>
      <w:pStyle w:val="5"/>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5</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0A8B0">
    <w:pPr>
      <w:pStyle w:val="5"/>
      <w:ind w:right="360" w:firstLine="280" w:firstLineChars="100"/>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6</w:t>
    </w:r>
    <w:r>
      <w:rPr>
        <w:sz w:val="28"/>
        <w:szCs w:val="28"/>
      </w:rPr>
      <w:fldChar w:fldCharType="end"/>
    </w:r>
    <w:r>
      <w:rPr>
        <w:rFonts w:hint="eastAsia"/>
        <w:sz w:val="28"/>
        <w:szCs w:val="28"/>
      </w:rPr>
      <w:t xml:space="preserve"> </w:t>
    </w:r>
    <w:r>
      <w:rPr>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BD482">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5C987"/>
    <w:multiLevelType w:val="singleLevel"/>
    <w:tmpl w:val="DB95C987"/>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3NjlmY2E5ZGIyZTg1YTMwOTczOGRhY2M1YTliZDUifQ=="/>
  </w:docVars>
  <w:rsids>
    <w:rsidRoot w:val="00891F1C"/>
    <w:rsid w:val="00001260"/>
    <w:rsid w:val="000069BD"/>
    <w:rsid w:val="00012090"/>
    <w:rsid w:val="00013547"/>
    <w:rsid w:val="00013B42"/>
    <w:rsid w:val="0002114C"/>
    <w:rsid w:val="00021AB3"/>
    <w:rsid w:val="00021D89"/>
    <w:rsid w:val="00023F73"/>
    <w:rsid w:val="00035028"/>
    <w:rsid w:val="0003781F"/>
    <w:rsid w:val="00040AF0"/>
    <w:rsid w:val="000525F8"/>
    <w:rsid w:val="0005359C"/>
    <w:rsid w:val="000559E5"/>
    <w:rsid w:val="0006062C"/>
    <w:rsid w:val="00066FC5"/>
    <w:rsid w:val="000727AE"/>
    <w:rsid w:val="00077282"/>
    <w:rsid w:val="00077FB8"/>
    <w:rsid w:val="000834DC"/>
    <w:rsid w:val="00085B3B"/>
    <w:rsid w:val="00086DC6"/>
    <w:rsid w:val="000935A6"/>
    <w:rsid w:val="00097F9E"/>
    <w:rsid w:val="000A4807"/>
    <w:rsid w:val="000A50EF"/>
    <w:rsid w:val="000B4E81"/>
    <w:rsid w:val="000B6507"/>
    <w:rsid w:val="000C082B"/>
    <w:rsid w:val="000C10EF"/>
    <w:rsid w:val="000C2EBD"/>
    <w:rsid w:val="000C5049"/>
    <w:rsid w:val="000C6C3A"/>
    <w:rsid w:val="000D2F2D"/>
    <w:rsid w:val="000E2334"/>
    <w:rsid w:val="000E2B2B"/>
    <w:rsid w:val="000E5603"/>
    <w:rsid w:val="000E5987"/>
    <w:rsid w:val="000E6C8B"/>
    <w:rsid w:val="000F27AC"/>
    <w:rsid w:val="000F5A5D"/>
    <w:rsid w:val="001075EF"/>
    <w:rsid w:val="00117E45"/>
    <w:rsid w:val="0012026D"/>
    <w:rsid w:val="00120CE1"/>
    <w:rsid w:val="001239EE"/>
    <w:rsid w:val="0012482E"/>
    <w:rsid w:val="00125304"/>
    <w:rsid w:val="001325E9"/>
    <w:rsid w:val="0013279C"/>
    <w:rsid w:val="00133785"/>
    <w:rsid w:val="001413EC"/>
    <w:rsid w:val="00150ED2"/>
    <w:rsid w:val="001514E1"/>
    <w:rsid w:val="001525C3"/>
    <w:rsid w:val="001531F7"/>
    <w:rsid w:val="001568BD"/>
    <w:rsid w:val="001604B2"/>
    <w:rsid w:val="00166906"/>
    <w:rsid w:val="001776BF"/>
    <w:rsid w:val="00182824"/>
    <w:rsid w:val="00183814"/>
    <w:rsid w:val="00190F8C"/>
    <w:rsid w:val="001918A5"/>
    <w:rsid w:val="00192711"/>
    <w:rsid w:val="00192FA1"/>
    <w:rsid w:val="00193B54"/>
    <w:rsid w:val="00195309"/>
    <w:rsid w:val="00196CE7"/>
    <w:rsid w:val="001971DD"/>
    <w:rsid w:val="001A16B2"/>
    <w:rsid w:val="001A5DF7"/>
    <w:rsid w:val="001A5E9B"/>
    <w:rsid w:val="001B37C7"/>
    <w:rsid w:val="001B6DC7"/>
    <w:rsid w:val="001B7E77"/>
    <w:rsid w:val="001C15B4"/>
    <w:rsid w:val="001D3B3D"/>
    <w:rsid w:val="001D4DE3"/>
    <w:rsid w:val="001D70CB"/>
    <w:rsid w:val="001E7558"/>
    <w:rsid w:val="001E7F41"/>
    <w:rsid w:val="001F132A"/>
    <w:rsid w:val="001F146A"/>
    <w:rsid w:val="001F3FDE"/>
    <w:rsid w:val="001F46F2"/>
    <w:rsid w:val="002010A0"/>
    <w:rsid w:val="00202E76"/>
    <w:rsid w:val="00205613"/>
    <w:rsid w:val="00207E7A"/>
    <w:rsid w:val="00213BBB"/>
    <w:rsid w:val="00217FA6"/>
    <w:rsid w:val="0022627D"/>
    <w:rsid w:val="002269A8"/>
    <w:rsid w:val="00227D2E"/>
    <w:rsid w:val="0023043C"/>
    <w:rsid w:val="00231A12"/>
    <w:rsid w:val="002329BF"/>
    <w:rsid w:val="00233370"/>
    <w:rsid w:val="00235D14"/>
    <w:rsid w:val="0024001E"/>
    <w:rsid w:val="00250AE2"/>
    <w:rsid w:val="00252EE6"/>
    <w:rsid w:val="0025767A"/>
    <w:rsid w:val="00261508"/>
    <w:rsid w:val="002615A0"/>
    <w:rsid w:val="00267229"/>
    <w:rsid w:val="00267246"/>
    <w:rsid w:val="00272009"/>
    <w:rsid w:val="002735A3"/>
    <w:rsid w:val="00273EFA"/>
    <w:rsid w:val="00274283"/>
    <w:rsid w:val="0027789C"/>
    <w:rsid w:val="002835E0"/>
    <w:rsid w:val="002863AF"/>
    <w:rsid w:val="0029455B"/>
    <w:rsid w:val="002A2F0E"/>
    <w:rsid w:val="002A3096"/>
    <w:rsid w:val="002A5D4C"/>
    <w:rsid w:val="002A756F"/>
    <w:rsid w:val="002B06E7"/>
    <w:rsid w:val="002B0B37"/>
    <w:rsid w:val="002B4D24"/>
    <w:rsid w:val="002C1732"/>
    <w:rsid w:val="002C3A09"/>
    <w:rsid w:val="002C7AFA"/>
    <w:rsid w:val="002D08ED"/>
    <w:rsid w:val="002D433F"/>
    <w:rsid w:val="002D4C39"/>
    <w:rsid w:val="002F1449"/>
    <w:rsid w:val="002F5CDA"/>
    <w:rsid w:val="002F70E0"/>
    <w:rsid w:val="00310783"/>
    <w:rsid w:val="00311401"/>
    <w:rsid w:val="00311693"/>
    <w:rsid w:val="003166B1"/>
    <w:rsid w:val="00324731"/>
    <w:rsid w:val="00325081"/>
    <w:rsid w:val="0032704E"/>
    <w:rsid w:val="003277D6"/>
    <w:rsid w:val="00327EF9"/>
    <w:rsid w:val="0033059D"/>
    <w:rsid w:val="00331D85"/>
    <w:rsid w:val="00335103"/>
    <w:rsid w:val="003364D1"/>
    <w:rsid w:val="003503B7"/>
    <w:rsid w:val="00353B76"/>
    <w:rsid w:val="00355686"/>
    <w:rsid w:val="0036330A"/>
    <w:rsid w:val="00376FA2"/>
    <w:rsid w:val="00380CCE"/>
    <w:rsid w:val="00396D12"/>
    <w:rsid w:val="003A1C69"/>
    <w:rsid w:val="003A2A05"/>
    <w:rsid w:val="003A7615"/>
    <w:rsid w:val="003C17E6"/>
    <w:rsid w:val="003C37EE"/>
    <w:rsid w:val="003D0003"/>
    <w:rsid w:val="003D3ABF"/>
    <w:rsid w:val="003D5FEB"/>
    <w:rsid w:val="003E41C5"/>
    <w:rsid w:val="003E49AB"/>
    <w:rsid w:val="003E6747"/>
    <w:rsid w:val="003F2087"/>
    <w:rsid w:val="004019CB"/>
    <w:rsid w:val="00404857"/>
    <w:rsid w:val="0040621A"/>
    <w:rsid w:val="00414851"/>
    <w:rsid w:val="00417759"/>
    <w:rsid w:val="004228EC"/>
    <w:rsid w:val="00422DA1"/>
    <w:rsid w:val="0043056C"/>
    <w:rsid w:val="004346CE"/>
    <w:rsid w:val="00437FFC"/>
    <w:rsid w:val="00450569"/>
    <w:rsid w:val="00453A14"/>
    <w:rsid w:val="0046317D"/>
    <w:rsid w:val="004641F9"/>
    <w:rsid w:val="0046443D"/>
    <w:rsid w:val="004773BA"/>
    <w:rsid w:val="00477752"/>
    <w:rsid w:val="004825DF"/>
    <w:rsid w:val="004934A7"/>
    <w:rsid w:val="00493906"/>
    <w:rsid w:val="004A2957"/>
    <w:rsid w:val="004A3674"/>
    <w:rsid w:val="004A4183"/>
    <w:rsid w:val="004A5209"/>
    <w:rsid w:val="004A6152"/>
    <w:rsid w:val="004B0FE1"/>
    <w:rsid w:val="004C0A47"/>
    <w:rsid w:val="004C27E8"/>
    <w:rsid w:val="004F236C"/>
    <w:rsid w:val="004F5110"/>
    <w:rsid w:val="004F5E83"/>
    <w:rsid w:val="0050442B"/>
    <w:rsid w:val="00504A91"/>
    <w:rsid w:val="0050548F"/>
    <w:rsid w:val="00506B43"/>
    <w:rsid w:val="00507476"/>
    <w:rsid w:val="00507BAB"/>
    <w:rsid w:val="00527C76"/>
    <w:rsid w:val="00535E31"/>
    <w:rsid w:val="00536294"/>
    <w:rsid w:val="00536B3B"/>
    <w:rsid w:val="00554361"/>
    <w:rsid w:val="005575A0"/>
    <w:rsid w:val="0056040C"/>
    <w:rsid w:val="00561050"/>
    <w:rsid w:val="005612CE"/>
    <w:rsid w:val="00583742"/>
    <w:rsid w:val="00586069"/>
    <w:rsid w:val="00590A66"/>
    <w:rsid w:val="0059589C"/>
    <w:rsid w:val="005A19CC"/>
    <w:rsid w:val="005A4BF1"/>
    <w:rsid w:val="005B0DAE"/>
    <w:rsid w:val="005B4129"/>
    <w:rsid w:val="005C3974"/>
    <w:rsid w:val="005C4058"/>
    <w:rsid w:val="005C6EA8"/>
    <w:rsid w:val="005D3133"/>
    <w:rsid w:val="005D4E45"/>
    <w:rsid w:val="005D58D7"/>
    <w:rsid w:val="005D5BAF"/>
    <w:rsid w:val="005E16EC"/>
    <w:rsid w:val="005E255D"/>
    <w:rsid w:val="005E7EDA"/>
    <w:rsid w:val="005F0B91"/>
    <w:rsid w:val="005F4AFE"/>
    <w:rsid w:val="005F4BA3"/>
    <w:rsid w:val="005F4C8E"/>
    <w:rsid w:val="005F5ABB"/>
    <w:rsid w:val="006021FC"/>
    <w:rsid w:val="0060721D"/>
    <w:rsid w:val="00611432"/>
    <w:rsid w:val="0061790D"/>
    <w:rsid w:val="00632801"/>
    <w:rsid w:val="00653977"/>
    <w:rsid w:val="006567DE"/>
    <w:rsid w:val="00660D31"/>
    <w:rsid w:val="0066195F"/>
    <w:rsid w:val="00663168"/>
    <w:rsid w:val="00666986"/>
    <w:rsid w:val="0067113D"/>
    <w:rsid w:val="00675E05"/>
    <w:rsid w:val="00680198"/>
    <w:rsid w:val="0068135A"/>
    <w:rsid w:val="00684573"/>
    <w:rsid w:val="006925E0"/>
    <w:rsid w:val="006A3F54"/>
    <w:rsid w:val="006B2BB7"/>
    <w:rsid w:val="006C091E"/>
    <w:rsid w:val="006C15A9"/>
    <w:rsid w:val="006C41F3"/>
    <w:rsid w:val="006C54CB"/>
    <w:rsid w:val="006D5E3D"/>
    <w:rsid w:val="006E1855"/>
    <w:rsid w:val="006E7E06"/>
    <w:rsid w:val="006F11ED"/>
    <w:rsid w:val="006F4DD2"/>
    <w:rsid w:val="0070056A"/>
    <w:rsid w:val="0070549D"/>
    <w:rsid w:val="0073291C"/>
    <w:rsid w:val="00736A73"/>
    <w:rsid w:val="007370BF"/>
    <w:rsid w:val="007400F3"/>
    <w:rsid w:val="00744556"/>
    <w:rsid w:val="00760279"/>
    <w:rsid w:val="00763C58"/>
    <w:rsid w:val="00763C69"/>
    <w:rsid w:val="00763D4A"/>
    <w:rsid w:val="00766CA0"/>
    <w:rsid w:val="00766F0C"/>
    <w:rsid w:val="00774BB0"/>
    <w:rsid w:val="0077646C"/>
    <w:rsid w:val="00781FDF"/>
    <w:rsid w:val="007851C8"/>
    <w:rsid w:val="00786541"/>
    <w:rsid w:val="00787F91"/>
    <w:rsid w:val="00790DA1"/>
    <w:rsid w:val="007917C8"/>
    <w:rsid w:val="00792D9D"/>
    <w:rsid w:val="007966FF"/>
    <w:rsid w:val="00796CBC"/>
    <w:rsid w:val="007A08DA"/>
    <w:rsid w:val="007A7113"/>
    <w:rsid w:val="007A7F7F"/>
    <w:rsid w:val="007B2745"/>
    <w:rsid w:val="007B39A6"/>
    <w:rsid w:val="007B4D18"/>
    <w:rsid w:val="007B5AB8"/>
    <w:rsid w:val="007C33B9"/>
    <w:rsid w:val="007C6AFC"/>
    <w:rsid w:val="007E0E40"/>
    <w:rsid w:val="007E31E2"/>
    <w:rsid w:val="007E6CB9"/>
    <w:rsid w:val="008007F9"/>
    <w:rsid w:val="00810723"/>
    <w:rsid w:val="008137B0"/>
    <w:rsid w:val="00817CAB"/>
    <w:rsid w:val="00821E98"/>
    <w:rsid w:val="00827767"/>
    <w:rsid w:val="00831A38"/>
    <w:rsid w:val="00834F64"/>
    <w:rsid w:val="00837136"/>
    <w:rsid w:val="00847DF7"/>
    <w:rsid w:val="00855A0A"/>
    <w:rsid w:val="00855CC7"/>
    <w:rsid w:val="00856213"/>
    <w:rsid w:val="008603C7"/>
    <w:rsid w:val="00864224"/>
    <w:rsid w:val="0088170B"/>
    <w:rsid w:val="0088184B"/>
    <w:rsid w:val="00881AF4"/>
    <w:rsid w:val="008846CE"/>
    <w:rsid w:val="008866DA"/>
    <w:rsid w:val="00891F1C"/>
    <w:rsid w:val="00894DF6"/>
    <w:rsid w:val="0089648A"/>
    <w:rsid w:val="008A28BC"/>
    <w:rsid w:val="008A6F78"/>
    <w:rsid w:val="008B3E8F"/>
    <w:rsid w:val="008C5E82"/>
    <w:rsid w:val="008D415D"/>
    <w:rsid w:val="008D4C62"/>
    <w:rsid w:val="008D51BE"/>
    <w:rsid w:val="008E48F7"/>
    <w:rsid w:val="008F09C2"/>
    <w:rsid w:val="00900399"/>
    <w:rsid w:val="00900ABD"/>
    <w:rsid w:val="009020A7"/>
    <w:rsid w:val="00916F06"/>
    <w:rsid w:val="00923B64"/>
    <w:rsid w:val="00924E5A"/>
    <w:rsid w:val="00930B40"/>
    <w:rsid w:val="00931252"/>
    <w:rsid w:val="00932425"/>
    <w:rsid w:val="00934074"/>
    <w:rsid w:val="0095355F"/>
    <w:rsid w:val="0095711B"/>
    <w:rsid w:val="00962C73"/>
    <w:rsid w:val="00963410"/>
    <w:rsid w:val="00966A4E"/>
    <w:rsid w:val="00972387"/>
    <w:rsid w:val="00982FBD"/>
    <w:rsid w:val="009848A5"/>
    <w:rsid w:val="00994F78"/>
    <w:rsid w:val="009952B5"/>
    <w:rsid w:val="009A157B"/>
    <w:rsid w:val="009A6DAF"/>
    <w:rsid w:val="009C40BA"/>
    <w:rsid w:val="009D139B"/>
    <w:rsid w:val="009D6B09"/>
    <w:rsid w:val="009D6FA7"/>
    <w:rsid w:val="009E4EF3"/>
    <w:rsid w:val="009E64DF"/>
    <w:rsid w:val="009E6E36"/>
    <w:rsid w:val="009E7548"/>
    <w:rsid w:val="009E7602"/>
    <w:rsid w:val="00A01442"/>
    <w:rsid w:val="00A10D14"/>
    <w:rsid w:val="00A15CFE"/>
    <w:rsid w:val="00A17905"/>
    <w:rsid w:val="00A20E48"/>
    <w:rsid w:val="00A228BB"/>
    <w:rsid w:val="00A27263"/>
    <w:rsid w:val="00A27526"/>
    <w:rsid w:val="00A30A49"/>
    <w:rsid w:val="00A36D86"/>
    <w:rsid w:val="00A37693"/>
    <w:rsid w:val="00A41DA9"/>
    <w:rsid w:val="00A43FAB"/>
    <w:rsid w:val="00A47E8F"/>
    <w:rsid w:val="00A47EE2"/>
    <w:rsid w:val="00A53F93"/>
    <w:rsid w:val="00A54746"/>
    <w:rsid w:val="00A5488E"/>
    <w:rsid w:val="00A56479"/>
    <w:rsid w:val="00A564B7"/>
    <w:rsid w:val="00A57A1B"/>
    <w:rsid w:val="00A70C6C"/>
    <w:rsid w:val="00A7579B"/>
    <w:rsid w:val="00A82F02"/>
    <w:rsid w:val="00A82F10"/>
    <w:rsid w:val="00A833DD"/>
    <w:rsid w:val="00A84B5C"/>
    <w:rsid w:val="00A85B18"/>
    <w:rsid w:val="00A90185"/>
    <w:rsid w:val="00A93623"/>
    <w:rsid w:val="00A96B62"/>
    <w:rsid w:val="00A96E9E"/>
    <w:rsid w:val="00AA0552"/>
    <w:rsid w:val="00AA3E2D"/>
    <w:rsid w:val="00AB1368"/>
    <w:rsid w:val="00AB6BDE"/>
    <w:rsid w:val="00AC3AFB"/>
    <w:rsid w:val="00AC4262"/>
    <w:rsid w:val="00AC5183"/>
    <w:rsid w:val="00AC7F57"/>
    <w:rsid w:val="00AD27C5"/>
    <w:rsid w:val="00AD3751"/>
    <w:rsid w:val="00AD59FE"/>
    <w:rsid w:val="00AD6D56"/>
    <w:rsid w:val="00AE40A5"/>
    <w:rsid w:val="00AF05C1"/>
    <w:rsid w:val="00AF7867"/>
    <w:rsid w:val="00B05583"/>
    <w:rsid w:val="00B0757C"/>
    <w:rsid w:val="00B11441"/>
    <w:rsid w:val="00B1388C"/>
    <w:rsid w:val="00B1415D"/>
    <w:rsid w:val="00B15651"/>
    <w:rsid w:val="00B32A87"/>
    <w:rsid w:val="00B34A0C"/>
    <w:rsid w:val="00B41F9C"/>
    <w:rsid w:val="00B425A4"/>
    <w:rsid w:val="00B43C63"/>
    <w:rsid w:val="00B52653"/>
    <w:rsid w:val="00B52C47"/>
    <w:rsid w:val="00B576A2"/>
    <w:rsid w:val="00B57BA6"/>
    <w:rsid w:val="00B65901"/>
    <w:rsid w:val="00B716A4"/>
    <w:rsid w:val="00B76B99"/>
    <w:rsid w:val="00B76FD8"/>
    <w:rsid w:val="00B77176"/>
    <w:rsid w:val="00B87E2D"/>
    <w:rsid w:val="00B90709"/>
    <w:rsid w:val="00B90B34"/>
    <w:rsid w:val="00B910A0"/>
    <w:rsid w:val="00B9173F"/>
    <w:rsid w:val="00BA3CD4"/>
    <w:rsid w:val="00BA3EE5"/>
    <w:rsid w:val="00BA716C"/>
    <w:rsid w:val="00BB04BD"/>
    <w:rsid w:val="00BB156C"/>
    <w:rsid w:val="00BB602B"/>
    <w:rsid w:val="00BC0D00"/>
    <w:rsid w:val="00BD3A6B"/>
    <w:rsid w:val="00BE60BB"/>
    <w:rsid w:val="00BE6A70"/>
    <w:rsid w:val="00BF5A14"/>
    <w:rsid w:val="00BF6C85"/>
    <w:rsid w:val="00C03553"/>
    <w:rsid w:val="00C04355"/>
    <w:rsid w:val="00C17004"/>
    <w:rsid w:val="00C17792"/>
    <w:rsid w:val="00C325E5"/>
    <w:rsid w:val="00C341D7"/>
    <w:rsid w:val="00C352B6"/>
    <w:rsid w:val="00C43313"/>
    <w:rsid w:val="00C54153"/>
    <w:rsid w:val="00C558A5"/>
    <w:rsid w:val="00C55B21"/>
    <w:rsid w:val="00C61A27"/>
    <w:rsid w:val="00C61B46"/>
    <w:rsid w:val="00C63E72"/>
    <w:rsid w:val="00C6793F"/>
    <w:rsid w:val="00C7083D"/>
    <w:rsid w:val="00C7471B"/>
    <w:rsid w:val="00C752A8"/>
    <w:rsid w:val="00C761A3"/>
    <w:rsid w:val="00C837BC"/>
    <w:rsid w:val="00C86E16"/>
    <w:rsid w:val="00C9189D"/>
    <w:rsid w:val="00C97534"/>
    <w:rsid w:val="00C9761C"/>
    <w:rsid w:val="00CB2BEA"/>
    <w:rsid w:val="00CB2C67"/>
    <w:rsid w:val="00CB46C6"/>
    <w:rsid w:val="00CC0516"/>
    <w:rsid w:val="00CC0E4B"/>
    <w:rsid w:val="00CC3ED0"/>
    <w:rsid w:val="00CD08B6"/>
    <w:rsid w:val="00CD5BC3"/>
    <w:rsid w:val="00CD7138"/>
    <w:rsid w:val="00CE0F14"/>
    <w:rsid w:val="00CF1F1B"/>
    <w:rsid w:val="00D02964"/>
    <w:rsid w:val="00D173F3"/>
    <w:rsid w:val="00D17B55"/>
    <w:rsid w:val="00D21922"/>
    <w:rsid w:val="00D21B3A"/>
    <w:rsid w:val="00D24654"/>
    <w:rsid w:val="00D25C13"/>
    <w:rsid w:val="00D277FC"/>
    <w:rsid w:val="00D32504"/>
    <w:rsid w:val="00D33E6A"/>
    <w:rsid w:val="00D36AD8"/>
    <w:rsid w:val="00D36DD9"/>
    <w:rsid w:val="00D43434"/>
    <w:rsid w:val="00D51634"/>
    <w:rsid w:val="00D53BF3"/>
    <w:rsid w:val="00D6020C"/>
    <w:rsid w:val="00D606AB"/>
    <w:rsid w:val="00D60F5B"/>
    <w:rsid w:val="00D65790"/>
    <w:rsid w:val="00D8002E"/>
    <w:rsid w:val="00D802B4"/>
    <w:rsid w:val="00D80DA7"/>
    <w:rsid w:val="00D84CA2"/>
    <w:rsid w:val="00D86999"/>
    <w:rsid w:val="00D90D42"/>
    <w:rsid w:val="00D94B1F"/>
    <w:rsid w:val="00D95150"/>
    <w:rsid w:val="00DA46D2"/>
    <w:rsid w:val="00DA601D"/>
    <w:rsid w:val="00DA6B86"/>
    <w:rsid w:val="00DC3BC9"/>
    <w:rsid w:val="00DC4DF2"/>
    <w:rsid w:val="00DD1E76"/>
    <w:rsid w:val="00DD55B8"/>
    <w:rsid w:val="00E00EF9"/>
    <w:rsid w:val="00E04094"/>
    <w:rsid w:val="00E1266D"/>
    <w:rsid w:val="00E22C6F"/>
    <w:rsid w:val="00E34844"/>
    <w:rsid w:val="00E4324C"/>
    <w:rsid w:val="00E437B6"/>
    <w:rsid w:val="00E44399"/>
    <w:rsid w:val="00E44A00"/>
    <w:rsid w:val="00E46BA1"/>
    <w:rsid w:val="00E5494D"/>
    <w:rsid w:val="00E56EDE"/>
    <w:rsid w:val="00E60552"/>
    <w:rsid w:val="00E6277A"/>
    <w:rsid w:val="00E63D8F"/>
    <w:rsid w:val="00E76E80"/>
    <w:rsid w:val="00E779DB"/>
    <w:rsid w:val="00E86385"/>
    <w:rsid w:val="00E945D5"/>
    <w:rsid w:val="00EB174D"/>
    <w:rsid w:val="00EB6C80"/>
    <w:rsid w:val="00EC23F8"/>
    <w:rsid w:val="00EC7528"/>
    <w:rsid w:val="00ED10B6"/>
    <w:rsid w:val="00EE3388"/>
    <w:rsid w:val="00EE60CC"/>
    <w:rsid w:val="00EF39F2"/>
    <w:rsid w:val="00F146FD"/>
    <w:rsid w:val="00F14972"/>
    <w:rsid w:val="00F15DDE"/>
    <w:rsid w:val="00F1689B"/>
    <w:rsid w:val="00F26C5D"/>
    <w:rsid w:val="00F33122"/>
    <w:rsid w:val="00F37E6F"/>
    <w:rsid w:val="00F47C49"/>
    <w:rsid w:val="00F50866"/>
    <w:rsid w:val="00F668C5"/>
    <w:rsid w:val="00F66A7C"/>
    <w:rsid w:val="00F713C4"/>
    <w:rsid w:val="00F72265"/>
    <w:rsid w:val="00F77F13"/>
    <w:rsid w:val="00F82FBB"/>
    <w:rsid w:val="00F85CD1"/>
    <w:rsid w:val="00F90482"/>
    <w:rsid w:val="00F90864"/>
    <w:rsid w:val="00FA327E"/>
    <w:rsid w:val="00FA7E5B"/>
    <w:rsid w:val="00FB02CD"/>
    <w:rsid w:val="00FB7551"/>
    <w:rsid w:val="00FC0383"/>
    <w:rsid w:val="00FC3F56"/>
    <w:rsid w:val="00FC4849"/>
    <w:rsid w:val="00FD4AA8"/>
    <w:rsid w:val="00FD60C6"/>
    <w:rsid w:val="00FD64CB"/>
    <w:rsid w:val="00FE1E34"/>
    <w:rsid w:val="00FE503E"/>
    <w:rsid w:val="00FF08B9"/>
    <w:rsid w:val="00FF3AFB"/>
    <w:rsid w:val="00FF7D9C"/>
    <w:rsid w:val="017E2E70"/>
    <w:rsid w:val="068966CB"/>
    <w:rsid w:val="08ED61F6"/>
    <w:rsid w:val="0AFD6303"/>
    <w:rsid w:val="0E721BC1"/>
    <w:rsid w:val="0EF92F74"/>
    <w:rsid w:val="1092654A"/>
    <w:rsid w:val="11607261"/>
    <w:rsid w:val="135A3C33"/>
    <w:rsid w:val="13AC74A9"/>
    <w:rsid w:val="1D4B564F"/>
    <w:rsid w:val="1DE43B5C"/>
    <w:rsid w:val="26754E25"/>
    <w:rsid w:val="288474ED"/>
    <w:rsid w:val="28993402"/>
    <w:rsid w:val="2A9D0BE6"/>
    <w:rsid w:val="2C272ABE"/>
    <w:rsid w:val="2C342EB0"/>
    <w:rsid w:val="31F26885"/>
    <w:rsid w:val="320007B8"/>
    <w:rsid w:val="35931E3C"/>
    <w:rsid w:val="36E52DE6"/>
    <w:rsid w:val="38BB5D8F"/>
    <w:rsid w:val="3AA82132"/>
    <w:rsid w:val="3C5E637A"/>
    <w:rsid w:val="3FAE40AD"/>
    <w:rsid w:val="40B107DC"/>
    <w:rsid w:val="414261C1"/>
    <w:rsid w:val="41D3638E"/>
    <w:rsid w:val="41D9767A"/>
    <w:rsid w:val="41E2219E"/>
    <w:rsid w:val="431E4809"/>
    <w:rsid w:val="435E7025"/>
    <w:rsid w:val="44BE2403"/>
    <w:rsid w:val="45802325"/>
    <w:rsid w:val="4BE33ECA"/>
    <w:rsid w:val="4C004579"/>
    <w:rsid w:val="4E3E068E"/>
    <w:rsid w:val="4F1A335F"/>
    <w:rsid w:val="54931CD3"/>
    <w:rsid w:val="56513307"/>
    <w:rsid w:val="596921DC"/>
    <w:rsid w:val="596F0E49"/>
    <w:rsid w:val="5B1C3E7A"/>
    <w:rsid w:val="5DED00C8"/>
    <w:rsid w:val="5EE00D8D"/>
    <w:rsid w:val="5EE07E44"/>
    <w:rsid w:val="6CB97E88"/>
    <w:rsid w:val="6F1E2474"/>
    <w:rsid w:val="6FBC6176"/>
    <w:rsid w:val="73AA3458"/>
    <w:rsid w:val="76BA5CFC"/>
    <w:rsid w:val="783424E2"/>
    <w:rsid w:val="78686CA8"/>
    <w:rsid w:val="78CD104B"/>
    <w:rsid w:val="7B632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qFormat/>
    <w:uiPriority w:val="0"/>
    <w:rPr>
      <w:rFonts w:eastAsia="创艺简仿宋"/>
      <w:sz w:val="30"/>
      <w:szCs w:val="20"/>
    </w:rPr>
  </w:style>
  <w:style w:type="paragraph" w:styleId="4">
    <w:name w:val="Balloon Text"/>
    <w:basedOn w:val="1"/>
    <w:link w:val="15"/>
    <w:qFormat/>
    <w:uiPriority w:val="0"/>
    <w:rPr>
      <w:sz w:val="18"/>
      <w:szCs w:val="18"/>
    </w:rPr>
  </w:style>
  <w:style w:type="paragraph" w:styleId="5">
    <w:name w:val="footer"/>
    <w:basedOn w:val="1"/>
    <w:link w:val="16"/>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qFormat/>
    <w:uiPriority w:val="0"/>
    <w:pPr>
      <w:ind w:firstLine="645"/>
    </w:pPr>
    <w:rPr>
      <w:rFonts w:ascii="楷体_GB2312" w:eastAsia="楷体_GB2312"/>
      <w:sz w:val="32"/>
    </w:rPr>
  </w:style>
  <w:style w:type="table" w:styleId="9">
    <w:name w:val="Table Grid"/>
    <w:basedOn w:val="8"/>
    <w:qFormat/>
    <w:uiPriority w:val="0"/>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Hyperlink"/>
    <w:qFormat/>
    <w:uiPriority w:val="0"/>
    <w:rPr>
      <w:color w:val="0000FF"/>
      <w:u w:val="single"/>
    </w:rPr>
  </w:style>
  <w:style w:type="paragraph" w:customStyle="1" w:styleId="13">
    <w:name w:val="_Style 19"/>
    <w:basedOn w:val="1"/>
    <w:qFormat/>
    <w:uiPriority w:val="0"/>
    <w:pPr>
      <w:widowControl/>
      <w:spacing w:after="160" w:line="240" w:lineRule="exact"/>
      <w:jc w:val="left"/>
    </w:pPr>
    <w:rPr>
      <w:rFonts w:ascii="Verdana" w:hAnsi="Verdana"/>
      <w:kern w:val="0"/>
      <w:sz w:val="18"/>
      <w:szCs w:val="20"/>
      <w:lang w:eastAsia="en-US"/>
    </w:rPr>
  </w:style>
  <w:style w:type="character" w:customStyle="1" w:styleId="14">
    <w:name w:val="标题 1 字符"/>
    <w:link w:val="2"/>
    <w:qFormat/>
    <w:uiPriority w:val="0"/>
    <w:rPr>
      <w:b/>
      <w:bCs/>
      <w:kern w:val="44"/>
      <w:sz w:val="44"/>
      <w:szCs w:val="44"/>
    </w:rPr>
  </w:style>
  <w:style w:type="character" w:customStyle="1" w:styleId="15">
    <w:name w:val="批注框文本 字符"/>
    <w:link w:val="4"/>
    <w:qFormat/>
    <w:uiPriority w:val="0"/>
    <w:rPr>
      <w:kern w:val="2"/>
      <w:sz w:val="18"/>
      <w:szCs w:val="18"/>
    </w:rPr>
  </w:style>
  <w:style w:type="character" w:customStyle="1" w:styleId="16">
    <w:name w:val="页脚 字符"/>
    <w:link w:val="5"/>
    <w:qFormat/>
    <w:uiPriority w:val="99"/>
    <w:rPr>
      <w:kern w:val="2"/>
      <w:sz w:val="18"/>
      <w:szCs w:val="18"/>
    </w:rPr>
  </w:style>
  <w:style w:type="paragraph" w:customStyle="1" w:styleId="17">
    <w:name w:val="红线"/>
    <w:basedOn w:val="2"/>
    <w:qFormat/>
    <w:uiPriority w:val="0"/>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18">
    <w:name w:val="密级"/>
    <w:basedOn w:val="1"/>
    <w:qFormat/>
    <w:uiPriority w:val="0"/>
    <w:pPr>
      <w:autoSpaceDE w:val="0"/>
      <w:autoSpaceDN w:val="0"/>
      <w:adjustRightInd w:val="0"/>
      <w:spacing w:line="425" w:lineRule="atLeast"/>
      <w:jc w:val="right"/>
    </w:pPr>
    <w:rPr>
      <w:rFonts w:ascii="黑体" w:eastAsia="黑体"/>
      <w:snapToGrid w:val="0"/>
      <w:kern w:val="0"/>
      <w:sz w:val="30"/>
      <w:szCs w:val="20"/>
    </w:rPr>
  </w:style>
  <w:style w:type="paragraph" w:customStyle="1" w:styleId="19">
    <w:name w:val="文头"/>
    <w:basedOn w:val="1"/>
    <w:qFormat/>
    <w:uiPriority w:val="0"/>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paragraph" w:styleId="20">
    <w:name w:val="List Paragraph"/>
    <w:basedOn w:val="1"/>
    <w:qFormat/>
    <w:uiPriority w:val="34"/>
    <w:pPr>
      <w:ind w:firstLine="420" w:firstLineChars="200"/>
    </w:pPr>
    <w:rPr>
      <w:rFonts w:ascii="Calibri" w:hAnsi="Calibri"/>
      <w:szCs w:val="22"/>
    </w:rPr>
  </w:style>
  <w:style w:type="paragraph" w:customStyle="1" w:styleId="2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2817</Words>
  <Characters>2964</Characters>
  <Lines>20</Lines>
  <Paragraphs>5</Paragraphs>
  <TotalTime>1</TotalTime>
  <ScaleCrop>false</ScaleCrop>
  <LinksUpToDate>false</LinksUpToDate>
  <CharactersWithSpaces>2999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2024-06-21T03:12:00Z</dcterms:created>
  <dc:creator>xmq</dc:creator>
  <cp:lastModifiedBy>ww</cp:lastModifiedBy>
  <cp:lastPrinted>2024-05-28T01:49:00Z</cp:lastPrinted>
  <dcterms:modified xsi:type="dcterms:W3CDTF">2024-06-21T10:31:01Z</dcterms:modified>
  <dc:title>省质监局文件调整建议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123CC09E13C7489E8CE05649BBC0EF9D_13</vt:lpwstr>
  </property>
</Properties>
</file>